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FFA0A" w14:textId="0D31AF76" w:rsidR="00170B82" w:rsidRDefault="00170B82" w:rsidP="00170B82">
      <w:pPr>
        <w:pStyle w:val="CRCoverPage"/>
        <w:tabs>
          <w:tab w:val="right" w:pos="9639"/>
        </w:tabs>
        <w:spacing w:after="0"/>
        <w:rPr>
          <w:b/>
          <w:i/>
          <w:noProof/>
          <w:sz w:val="24"/>
          <w:szCs w:val="28"/>
        </w:rPr>
      </w:pPr>
      <w:bookmarkStart w:id="0" w:name="_Hlk527628066"/>
      <w:r>
        <w:rPr>
          <w:b/>
          <w:noProof/>
          <w:sz w:val="24"/>
          <w:szCs w:val="28"/>
        </w:rPr>
        <w:t>3GPP TSG-RAN WG3 Meeting #114bis-e</w:t>
      </w:r>
      <w:r>
        <w:rPr>
          <w:b/>
          <w:i/>
          <w:noProof/>
          <w:sz w:val="24"/>
          <w:szCs w:val="28"/>
        </w:rPr>
        <w:tab/>
      </w:r>
      <w:r w:rsidRPr="00BD3FF7">
        <w:rPr>
          <w:b/>
          <w:sz w:val="28"/>
          <w:szCs w:val="28"/>
        </w:rPr>
        <w:t>R3-</w:t>
      </w:r>
      <w:r w:rsidRPr="00BD3FF7">
        <w:rPr>
          <w:b/>
          <w:noProof/>
          <w:sz w:val="28"/>
          <w:szCs w:val="28"/>
        </w:rPr>
        <w:t>22</w:t>
      </w:r>
      <w:r w:rsidR="00BD3FF7" w:rsidRPr="00BD3FF7">
        <w:rPr>
          <w:b/>
          <w:noProof/>
          <w:sz w:val="28"/>
          <w:szCs w:val="28"/>
        </w:rPr>
        <w:t>0172</w:t>
      </w:r>
    </w:p>
    <w:p w14:paraId="21780F87" w14:textId="77777777" w:rsidR="00170B82" w:rsidRDefault="00170B82" w:rsidP="00170B82">
      <w:pPr>
        <w:pStyle w:val="CRCoverPage"/>
        <w:outlineLvl w:val="0"/>
        <w:rPr>
          <w:b/>
          <w:noProof/>
          <w:sz w:val="24"/>
          <w:szCs w:val="28"/>
        </w:rPr>
      </w:pPr>
      <w:r>
        <w:rPr>
          <w:b/>
          <w:noProof/>
          <w:sz w:val="24"/>
          <w:szCs w:val="28"/>
        </w:rPr>
        <w:t>Online, January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2022</w:t>
      </w:r>
      <w:bookmarkEnd w:id="0"/>
    </w:p>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249B7F3C"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86746D" w:rsidRPr="008D2FF2">
        <w:rPr>
          <w:rFonts w:asciiTheme="minorHAnsi" w:hAnsiTheme="minorHAnsi" w:cstheme="minorHAnsi"/>
          <w:szCs w:val="22"/>
        </w:rPr>
        <w:t>3</w:t>
      </w:r>
    </w:p>
    <w:p w14:paraId="418B7CDF" w14:textId="5C81244B"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r w:rsidR="00577B9D">
        <w:rPr>
          <w:rFonts w:asciiTheme="minorHAnsi" w:hAnsiTheme="minorHAnsi" w:cstheme="minorHAnsi"/>
          <w:szCs w:val="22"/>
        </w:rPr>
        <w:t>, CM</w:t>
      </w:r>
      <w:r w:rsidR="00914DDA">
        <w:rPr>
          <w:rFonts w:asciiTheme="minorHAnsi" w:hAnsiTheme="minorHAnsi" w:cstheme="minorHAnsi"/>
          <w:szCs w:val="22"/>
        </w:rPr>
        <w:t>CC</w:t>
      </w:r>
      <w:r w:rsidR="00BB5E5F">
        <w:rPr>
          <w:rFonts w:asciiTheme="minorHAnsi" w:hAnsiTheme="minorHAnsi" w:cstheme="minorHAnsi"/>
          <w:szCs w:val="22"/>
        </w:rPr>
        <w:t>, China Unicom</w:t>
      </w:r>
    </w:p>
    <w:p w14:paraId="08FBCC57" w14:textId="117B7611"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B24728" w:rsidRPr="00B24728">
        <w:rPr>
          <w:rFonts w:asciiTheme="minorHAnsi" w:hAnsiTheme="minorHAnsi" w:cstheme="minorHAnsi"/>
          <w:szCs w:val="22"/>
        </w:rPr>
        <w:t>Reporting Periodicity of RAN Visible QoE</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1B3D38C3" w14:textId="66A7F78D" w:rsidR="00E14F3F" w:rsidRDefault="00E14F3F" w:rsidP="00D56DDC">
      <w:pPr>
        <w:pStyle w:val="IvDInstructiontext"/>
        <w:spacing w:before="120"/>
        <w:rPr>
          <w:rStyle w:val="IvDbodytextChar"/>
          <w:rFonts w:asciiTheme="minorHAnsi" w:hAnsiTheme="minorHAnsi" w:cstheme="minorHAnsi"/>
          <w:i w:val="0"/>
          <w:color w:val="auto"/>
          <w:sz w:val="22"/>
          <w:lang w:val="en-GB"/>
        </w:rPr>
      </w:pPr>
      <w:r w:rsidRPr="008D2FF2">
        <w:rPr>
          <w:rStyle w:val="IvDbodytextChar"/>
          <w:rFonts w:asciiTheme="minorHAnsi" w:hAnsiTheme="minorHAnsi" w:cstheme="minorHAnsi"/>
          <w:i w:val="0"/>
          <w:color w:val="auto"/>
          <w:sz w:val="22"/>
          <w:lang w:val="en-GB"/>
        </w:rPr>
        <w:t>At the RAN3#11</w:t>
      </w:r>
      <w:r w:rsidR="00D67D98">
        <w:rPr>
          <w:rStyle w:val="IvDbodytextChar"/>
          <w:rFonts w:asciiTheme="minorHAnsi" w:hAnsiTheme="minorHAnsi" w:cstheme="minorHAnsi"/>
          <w:i w:val="0"/>
          <w:color w:val="auto"/>
          <w:sz w:val="22"/>
          <w:lang w:val="en-GB"/>
        </w:rPr>
        <w:t>4</w:t>
      </w:r>
      <w:r w:rsidRPr="008D2FF2">
        <w:rPr>
          <w:rStyle w:val="IvDbodytextChar"/>
          <w:rFonts w:asciiTheme="minorHAnsi" w:hAnsiTheme="minorHAnsi" w:cstheme="minorHAnsi"/>
          <w:i w:val="0"/>
          <w:color w:val="auto"/>
          <w:sz w:val="22"/>
          <w:lang w:val="en-GB"/>
        </w:rPr>
        <w:t xml:space="preserve">-e meeting, the following </w:t>
      </w:r>
      <w:r w:rsidR="00B24728">
        <w:rPr>
          <w:rStyle w:val="IvDbodytextChar"/>
          <w:rFonts w:asciiTheme="minorHAnsi" w:hAnsiTheme="minorHAnsi" w:cstheme="minorHAnsi"/>
          <w:i w:val="0"/>
          <w:color w:val="auto"/>
          <w:sz w:val="22"/>
          <w:lang w:val="en-GB"/>
        </w:rPr>
        <w:t>agreements with respect to the reporting periodicity of RAN visible QoE (RVQoE) were made:</w:t>
      </w:r>
    </w:p>
    <w:p w14:paraId="61068CD9" w14:textId="77777777" w:rsidR="007104C7" w:rsidRPr="007104C7" w:rsidRDefault="007104C7" w:rsidP="008B3EBF">
      <w:pPr>
        <w:spacing w:before="120" w:after="0"/>
        <w:jc w:val="left"/>
        <w:rPr>
          <w:rFonts w:ascii="Calibri" w:hAnsi="Calibri" w:cs="Calibri"/>
          <w:b/>
          <w:bCs/>
          <w:u w:val="single"/>
        </w:rPr>
      </w:pPr>
      <w:r w:rsidRPr="007104C7">
        <w:rPr>
          <w:rFonts w:ascii="Calibri" w:hAnsi="Calibri" w:cs="Calibri"/>
          <w:b/>
          <w:bCs/>
          <w:u w:val="single"/>
        </w:rPr>
        <w:t>RVQoE reporting</w:t>
      </w:r>
    </w:p>
    <w:p w14:paraId="5356466F"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RAN3 should discuss whether the existing identified RAN visible QoE metrics (or values if agreed) justifies the need of a separate reporting periodicity for RAN visible QoE</w:t>
      </w:r>
    </w:p>
    <w:p w14:paraId="4643F0CB"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RAN3’s decision on whether to have a different reporting periodicity for RAN visible QoE is independent of RAN2’s decision on which SRB to use for RAN visible QoE</w:t>
      </w:r>
    </w:p>
    <w:p w14:paraId="37797E0E"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Send an LS to SA4 checking the feasibility of supporting a different reporting periodicity for RAN visible QoE metrics, from the application perspective.</w:t>
      </w:r>
    </w:p>
    <w:p w14:paraId="7BC6CDEB" w14:textId="3DC7BD4F" w:rsidR="006C5932" w:rsidRDefault="0002360B" w:rsidP="008B3EBF">
      <w:pPr>
        <w:pStyle w:val="IvDInstructiontext"/>
        <w:spacing w:before="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lang w:val="en-GB"/>
        </w:rPr>
        <w:t>In t</w:t>
      </w:r>
      <w:r w:rsidR="00E14F3F"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00E14F3F" w:rsidRPr="001B25ED">
        <w:rPr>
          <w:rStyle w:val="IvDbodytextChar"/>
          <w:rFonts w:asciiTheme="minorHAnsi" w:hAnsiTheme="minorHAnsi" w:cstheme="minorHAnsi"/>
          <w:i w:val="0"/>
          <w:color w:val="auto"/>
          <w:sz w:val="22"/>
          <w:lang w:val="en-GB"/>
        </w:rPr>
        <w:t xml:space="preserve">discuss the way forward with respect to the </w:t>
      </w:r>
      <w:r w:rsidR="00B24728">
        <w:rPr>
          <w:rStyle w:val="IvDbodytextChar"/>
          <w:rFonts w:asciiTheme="minorHAnsi" w:hAnsiTheme="minorHAnsi" w:cstheme="minorHAnsi"/>
          <w:i w:val="0"/>
          <w:color w:val="auto"/>
          <w:sz w:val="22"/>
          <w:lang w:val="en-GB"/>
        </w:rPr>
        <w:t>RVQoE reporting pe</w:t>
      </w:r>
      <w:r w:rsidR="008568B3">
        <w:rPr>
          <w:rStyle w:val="IvDbodytextChar"/>
          <w:rFonts w:asciiTheme="minorHAnsi" w:hAnsiTheme="minorHAnsi" w:cstheme="minorHAnsi"/>
          <w:i w:val="0"/>
          <w:color w:val="auto"/>
          <w:sz w:val="22"/>
          <w:lang w:val="en-GB"/>
        </w:rPr>
        <w:t>r</w:t>
      </w:r>
      <w:r w:rsidR="00B24728">
        <w:rPr>
          <w:rStyle w:val="IvDbodytextChar"/>
          <w:rFonts w:asciiTheme="minorHAnsi" w:hAnsiTheme="minorHAnsi" w:cstheme="minorHAnsi"/>
          <w:i w:val="0"/>
          <w:color w:val="auto"/>
          <w:sz w:val="22"/>
          <w:lang w:val="en-GB"/>
        </w:rPr>
        <w:t>iodicity</w:t>
      </w:r>
      <w:r w:rsidR="002721A8" w:rsidRPr="007B3720">
        <w:rPr>
          <w:rStyle w:val="IvDbodytextChar"/>
          <w:rFonts w:asciiTheme="minorHAnsi" w:hAnsiTheme="minorHAnsi" w:cstheme="minorHAnsi"/>
          <w:i w:val="0"/>
          <w:color w:val="auto"/>
          <w:sz w:val="22"/>
          <w:lang w:val="en-GB"/>
        </w:rPr>
        <w:t xml:space="preserve">. </w:t>
      </w:r>
    </w:p>
    <w:p w14:paraId="57F08812" w14:textId="49BE1A52" w:rsidR="00764720" w:rsidRDefault="00764720" w:rsidP="00B5604C">
      <w:pPr>
        <w:pStyle w:val="Heading1"/>
        <w:ind w:hanging="522"/>
        <w:rPr>
          <w:rFonts w:ascii="Calibri" w:hAnsi="Calibri" w:cs="Calibri"/>
          <w:sz w:val="40"/>
          <w:szCs w:val="40"/>
        </w:rPr>
      </w:pPr>
      <w:r w:rsidRPr="00764720">
        <w:rPr>
          <w:rFonts w:ascii="Calibri" w:hAnsi="Calibri" w:cs="Calibri"/>
          <w:sz w:val="40"/>
          <w:szCs w:val="40"/>
        </w:rPr>
        <w:t>Discussion</w:t>
      </w:r>
    </w:p>
    <w:p w14:paraId="1A83E8CF" w14:textId="77777777" w:rsidR="00EF1935" w:rsidRPr="008D2FF2" w:rsidRDefault="00EF1935" w:rsidP="00EF1935">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In our view, certain use cases for RVQoE</w:t>
      </w:r>
      <w:r>
        <w:rPr>
          <w:rFonts w:asciiTheme="minorHAnsi" w:hAnsiTheme="minorHAnsi" w:cstheme="minorHAnsi"/>
          <w:sz w:val="22"/>
          <w:szCs w:val="22"/>
        </w:rPr>
        <w:t xml:space="preserve"> may</w:t>
      </w:r>
      <w:r w:rsidRPr="008D2FF2">
        <w:rPr>
          <w:rFonts w:asciiTheme="minorHAnsi" w:hAnsiTheme="minorHAnsi" w:cstheme="minorHAnsi"/>
          <w:sz w:val="22"/>
          <w:szCs w:val="22"/>
        </w:rPr>
        <w:t xml:space="preserve"> require dynamic </w:t>
      </w:r>
      <w:r>
        <w:rPr>
          <w:rFonts w:asciiTheme="minorHAnsi" w:hAnsiTheme="minorHAnsi" w:cstheme="minorHAnsi"/>
          <w:sz w:val="22"/>
          <w:szCs w:val="22"/>
        </w:rPr>
        <w:t xml:space="preserve">(e.g., periodic) </w:t>
      </w:r>
      <w:r w:rsidRPr="008D2FF2">
        <w:rPr>
          <w:rFonts w:asciiTheme="minorHAnsi" w:hAnsiTheme="minorHAnsi" w:cstheme="minorHAnsi"/>
          <w:sz w:val="22"/>
          <w:szCs w:val="22"/>
        </w:rPr>
        <w:t>reporting of RVQoE to the RAN, rather than reporting only at the end of the session</w:t>
      </w:r>
      <w:r>
        <w:rPr>
          <w:rFonts w:asciiTheme="minorHAnsi" w:hAnsiTheme="minorHAnsi" w:cstheme="minorHAnsi"/>
          <w:sz w:val="22"/>
          <w:szCs w:val="22"/>
        </w:rPr>
        <w:t>, as may be the case for legacy QoE</w:t>
      </w:r>
      <w:r w:rsidRPr="008D2FF2">
        <w:rPr>
          <w:rFonts w:asciiTheme="minorHAnsi" w:hAnsiTheme="minorHAnsi" w:cstheme="minorHAnsi"/>
          <w:sz w:val="22"/>
          <w:szCs w:val="22"/>
        </w:rPr>
        <w:t>. Some examples</w:t>
      </w:r>
      <w:r>
        <w:rPr>
          <w:rFonts w:asciiTheme="minorHAnsi" w:hAnsiTheme="minorHAnsi" w:cstheme="minorHAnsi"/>
          <w:sz w:val="22"/>
          <w:szCs w:val="22"/>
        </w:rPr>
        <w:t xml:space="preserve"> of u</w:t>
      </w:r>
      <w:r w:rsidRPr="008D2FF2">
        <w:rPr>
          <w:rFonts w:asciiTheme="minorHAnsi" w:hAnsiTheme="minorHAnsi" w:cstheme="minorHAnsi"/>
          <w:sz w:val="22"/>
          <w:szCs w:val="22"/>
        </w:rPr>
        <w:t>s</w:t>
      </w:r>
      <w:r>
        <w:rPr>
          <w:rFonts w:asciiTheme="minorHAnsi" w:hAnsiTheme="minorHAnsi" w:cstheme="minorHAnsi"/>
          <w:sz w:val="22"/>
          <w:szCs w:val="22"/>
        </w:rPr>
        <w:t>e cases that motivate separate reporting are</w:t>
      </w:r>
      <w:r w:rsidRPr="008D2FF2">
        <w:rPr>
          <w:rFonts w:asciiTheme="minorHAnsi" w:hAnsiTheme="minorHAnsi" w:cstheme="minorHAnsi"/>
          <w:sz w:val="22"/>
          <w:szCs w:val="22"/>
        </w:rPr>
        <w:t>:</w:t>
      </w:r>
    </w:p>
    <w:p w14:paraId="51872012" w14:textId="77777777" w:rsidR="00EF1935" w:rsidRPr="008D2FF2" w:rsidRDefault="00EF1935" w:rsidP="00EF1935">
      <w:pPr>
        <w:pStyle w:val="ListParagraph"/>
        <w:numPr>
          <w:ilvl w:val="0"/>
          <w:numId w:val="6"/>
        </w:numPr>
        <w:spacing w:before="120" w:after="0"/>
        <w:jc w:val="left"/>
        <w:rPr>
          <w:rFonts w:asciiTheme="minorHAnsi" w:hAnsiTheme="minorHAnsi" w:cstheme="minorHAnsi"/>
        </w:rPr>
      </w:pPr>
      <w:r w:rsidRPr="008D2FF2">
        <w:rPr>
          <w:rFonts w:asciiTheme="minorHAnsi" w:hAnsiTheme="minorHAnsi" w:cstheme="minorHAnsi"/>
          <w:b/>
          <w:bCs/>
          <w:sz w:val="22"/>
          <w:szCs w:val="22"/>
        </w:rPr>
        <w:t>QoE-aware traffic steering</w:t>
      </w:r>
      <w:r w:rsidRPr="008D2FF2">
        <w:rPr>
          <w:rFonts w:asciiTheme="minorHAnsi" w:hAnsiTheme="minorHAnsi" w:cstheme="minorHAnsi"/>
          <w:sz w:val="22"/>
          <w:szCs w:val="22"/>
        </w:rPr>
        <w:t xml:space="preserve">: setting up CA and DC, based on the observed/predicted </w:t>
      </w:r>
      <w:r>
        <w:rPr>
          <w:rFonts w:asciiTheme="minorHAnsi" w:hAnsiTheme="minorHAnsi" w:cstheme="minorHAnsi"/>
          <w:sz w:val="22"/>
          <w:szCs w:val="22"/>
        </w:rPr>
        <w:t>RV</w:t>
      </w:r>
      <w:r w:rsidRPr="008D2FF2">
        <w:rPr>
          <w:rFonts w:asciiTheme="minorHAnsi" w:hAnsiTheme="minorHAnsi" w:cstheme="minorHAnsi"/>
          <w:sz w:val="22"/>
          <w:szCs w:val="22"/>
        </w:rPr>
        <w:t>QoE.</w:t>
      </w:r>
    </w:p>
    <w:p w14:paraId="47E62855" w14:textId="77777777" w:rsidR="00EF1935" w:rsidRPr="008D2FF2" w:rsidRDefault="00EF1935" w:rsidP="00EF1935">
      <w:pPr>
        <w:pStyle w:val="ListParagraph"/>
        <w:numPr>
          <w:ilvl w:val="0"/>
          <w:numId w:val="6"/>
        </w:numPr>
        <w:spacing w:before="120" w:after="0"/>
        <w:jc w:val="left"/>
        <w:rPr>
          <w:rFonts w:asciiTheme="minorHAnsi" w:hAnsiTheme="minorHAnsi" w:cstheme="minorHAnsi"/>
          <w:sz w:val="22"/>
          <w:szCs w:val="22"/>
        </w:rPr>
      </w:pPr>
      <w:r w:rsidRPr="008D2FF2">
        <w:rPr>
          <w:rFonts w:asciiTheme="minorHAnsi" w:eastAsia="SimSun" w:hAnsiTheme="minorHAnsi" w:cstheme="minorHAnsi"/>
          <w:b/>
          <w:bCs/>
          <w:sz w:val="22"/>
          <w:szCs w:val="22"/>
        </w:rPr>
        <w:t>Scheduling and link adaptation</w:t>
      </w:r>
      <w:r w:rsidRPr="008D2FF2">
        <w:rPr>
          <w:rFonts w:asciiTheme="minorHAnsi" w:eastAsia="SimSun" w:hAnsiTheme="minorHAnsi" w:cstheme="minorHAnsi"/>
          <w:sz w:val="22"/>
          <w:szCs w:val="22"/>
        </w:rPr>
        <w:t xml:space="preserve">: taking counter action by </w:t>
      </w:r>
      <w:r>
        <w:rPr>
          <w:rFonts w:asciiTheme="minorHAnsi" w:eastAsia="SimSun" w:hAnsiTheme="minorHAnsi" w:cstheme="minorHAnsi"/>
          <w:sz w:val="22"/>
          <w:szCs w:val="22"/>
        </w:rPr>
        <w:t xml:space="preserve">the </w:t>
      </w:r>
      <w:r w:rsidRPr="008D2FF2">
        <w:rPr>
          <w:rFonts w:asciiTheme="minorHAnsi" w:eastAsia="SimSun" w:hAnsiTheme="minorHAnsi" w:cstheme="minorHAnsi"/>
          <w:sz w:val="22"/>
          <w:szCs w:val="22"/>
        </w:rPr>
        <w:t>RAN node upon e.g., video stalling.</w:t>
      </w:r>
    </w:p>
    <w:p w14:paraId="63A61DE4" w14:textId="77777777" w:rsidR="00EF1935" w:rsidRPr="008D2FF2" w:rsidRDefault="00EF1935" w:rsidP="00EF1935">
      <w:pPr>
        <w:pStyle w:val="ListParagraph"/>
        <w:numPr>
          <w:ilvl w:val="0"/>
          <w:numId w:val="6"/>
        </w:numPr>
        <w:spacing w:before="120" w:after="0"/>
        <w:jc w:val="left"/>
        <w:rPr>
          <w:rFonts w:asciiTheme="minorHAnsi" w:eastAsia="SimSun" w:hAnsiTheme="minorHAnsi" w:cstheme="minorHAnsi"/>
          <w:sz w:val="22"/>
          <w:szCs w:val="22"/>
        </w:rPr>
      </w:pPr>
      <w:r w:rsidRPr="008D2FF2">
        <w:rPr>
          <w:rFonts w:asciiTheme="minorHAnsi" w:eastAsia="SimSun" w:hAnsiTheme="minorHAnsi" w:cstheme="minorHAnsi"/>
          <w:b/>
          <w:bCs/>
          <w:sz w:val="22"/>
          <w:szCs w:val="22"/>
        </w:rPr>
        <w:t>Mobility type decision</w:t>
      </w:r>
      <w:r w:rsidRPr="008D2FF2">
        <w:rPr>
          <w:rFonts w:asciiTheme="minorHAnsi" w:eastAsia="SimSun" w:hAnsiTheme="minorHAnsi" w:cstheme="minorHAnsi"/>
          <w:sz w:val="22"/>
          <w:szCs w:val="22"/>
        </w:rPr>
        <w:t>: deciding whether to use CHO or DAPS or legacy HO, based on the buffer level.</w:t>
      </w:r>
    </w:p>
    <w:p w14:paraId="76D5ABEF" w14:textId="77777777" w:rsidR="00EF1935" w:rsidRPr="008D2FF2" w:rsidRDefault="00EF1935" w:rsidP="00EF1935">
      <w:pPr>
        <w:pStyle w:val="ListParagraph"/>
        <w:numPr>
          <w:ilvl w:val="0"/>
          <w:numId w:val="6"/>
        </w:numPr>
        <w:spacing w:before="120" w:after="0"/>
        <w:jc w:val="left"/>
        <w:rPr>
          <w:rFonts w:asciiTheme="minorHAnsi" w:eastAsia="SimSun" w:hAnsiTheme="minorHAnsi" w:cstheme="minorHAnsi"/>
          <w:sz w:val="22"/>
          <w:szCs w:val="22"/>
        </w:rPr>
      </w:pPr>
      <w:r w:rsidRPr="008D2FF2">
        <w:rPr>
          <w:rFonts w:asciiTheme="minorHAnsi" w:eastAsia="SimSun" w:hAnsiTheme="minorHAnsi" w:cstheme="minorHAnsi"/>
          <w:b/>
          <w:bCs/>
          <w:sz w:val="22"/>
          <w:szCs w:val="22"/>
        </w:rPr>
        <w:t>Mobility decision evaluation</w:t>
      </w:r>
      <w:r w:rsidRPr="008D2FF2">
        <w:rPr>
          <w:rFonts w:asciiTheme="minorHAnsi" w:eastAsia="SimSun" w:hAnsiTheme="minorHAnsi" w:cstheme="minorHAnsi"/>
          <w:sz w:val="22"/>
          <w:szCs w:val="22"/>
        </w:rPr>
        <w:t xml:space="preserve">: assessing the </w:t>
      </w:r>
      <w:r>
        <w:rPr>
          <w:rFonts w:asciiTheme="minorHAnsi" w:eastAsia="SimSun" w:hAnsiTheme="minorHAnsi" w:cstheme="minorHAnsi"/>
          <w:sz w:val="22"/>
          <w:szCs w:val="22"/>
        </w:rPr>
        <w:t>RV</w:t>
      </w:r>
      <w:r w:rsidRPr="008D2FF2">
        <w:rPr>
          <w:rFonts w:asciiTheme="minorHAnsi" w:eastAsia="SimSun" w:hAnsiTheme="minorHAnsi" w:cstheme="minorHAnsi"/>
          <w:sz w:val="22"/>
          <w:szCs w:val="22"/>
        </w:rPr>
        <w:t>QoE after a HO by sending the RVQoE report to the source node.</w:t>
      </w:r>
    </w:p>
    <w:p w14:paraId="7E31F68B" w14:textId="77777777" w:rsidR="00EF1935" w:rsidRPr="008D2FF2" w:rsidRDefault="00EF1935" w:rsidP="00EF1935">
      <w:pPr>
        <w:pStyle w:val="ListParagraph"/>
        <w:numPr>
          <w:ilvl w:val="0"/>
          <w:numId w:val="6"/>
        </w:numPr>
        <w:spacing w:before="120" w:after="0"/>
        <w:jc w:val="left"/>
        <w:rPr>
          <w:rFonts w:asciiTheme="minorHAnsi" w:eastAsia="SimSun" w:hAnsiTheme="minorHAnsi" w:cstheme="minorHAnsi"/>
          <w:b/>
          <w:bCs/>
          <w:sz w:val="22"/>
          <w:szCs w:val="22"/>
        </w:rPr>
      </w:pPr>
      <w:r w:rsidRPr="008D2FF2">
        <w:rPr>
          <w:rFonts w:asciiTheme="minorHAnsi" w:eastAsia="SimSun" w:hAnsiTheme="minorHAnsi" w:cstheme="minorHAnsi"/>
          <w:b/>
          <w:bCs/>
          <w:sz w:val="22"/>
          <w:szCs w:val="22"/>
        </w:rPr>
        <w:t>Using RVQoE reports as input features to AI/ML algorithms.</w:t>
      </w:r>
    </w:p>
    <w:p w14:paraId="5DCC231D" w14:textId="77777777" w:rsidR="00EF1935" w:rsidRDefault="00EF1935" w:rsidP="00EF1935">
      <w:pPr>
        <w:spacing w:before="120" w:after="0"/>
        <w:jc w:val="left"/>
        <w:rPr>
          <w:rFonts w:asciiTheme="minorHAnsi" w:hAnsiTheme="minorHAnsi" w:cstheme="minorHAnsi"/>
          <w:sz w:val="22"/>
          <w:szCs w:val="22"/>
        </w:rPr>
      </w:pPr>
      <w:r>
        <w:rPr>
          <w:rFonts w:asciiTheme="minorHAnsi" w:hAnsiTheme="minorHAnsi" w:cstheme="minorHAnsi"/>
          <w:sz w:val="22"/>
          <w:szCs w:val="22"/>
        </w:rPr>
        <w:t>It is questionable whether the above use cases can be enabled if legacy and RVQoE use the same reporting periodicity. For instance, the RVQoE measurements for mobility decision evaluation only make sense if executed within a short time window before and after the handover instant. This is not feasible if the legacy QoE reporting periodicity is used, e.g., every x minutes or once per session.</w:t>
      </w:r>
    </w:p>
    <w:p w14:paraId="7B6BE9AC" w14:textId="77777777" w:rsidR="00EF1935" w:rsidRPr="00452960" w:rsidRDefault="00EF1935" w:rsidP="00EF1935">
      <w:pPr>
        <w:spacing w:before="120" w:after="0"/>
        <w:jc w:val="left"/>
        <w:rPr>
          <w:rFonts w:asciiTheme="minorHAnsi" w:hAnsiTheme="minorHAnsi" w:cstheme="minorHAnsi"/>
          <w:b/>
          <w:bCs/>
          <w:sz w:val="22"/>
          <w:szCs w:val="22"/>
        </w:rPr>
      </w:pPr>
      <w:r w:rsidRPr="00452960">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452960">
        <w:rPr>
          <w:rFonts w:asciiTheme="minorHAnsi" w:hAnsiTheme="minorHAnsi" w:cstheme="minorHAnsi"/>
          <w:b/>
          <w:bCs/>
          <w:sz w:val="22"/>
          <w:szCs w:val="22"/>
        </w:rPr>
        <w:t>: Some of the key use cases of RVQoE cannot be enabled if RVQoE uses the same reporting periodicity as legacy QoE.</w:t>
      </w:r>
    </w:p>
    <w:p w14:paraId="75F05907" w14:textId="77777777" w:rsidR="00EF1935" w:rsidRDefault="00EF1935" w:rsidP="00EF1935">
      <w:pPr>
        <w:spacing w:before="120" w:after="0"/>
        <w:jc w:val="left"/>
        <w:rPr>
          <w:rFonts w:asciiTheme="minorHAnsi" w:hAnsiTheme="minorHAnsi" w:cstheme="minorHAnsi"/>
          <w:sz w:val="22"/>
          <w:szCs w:val="22"/>
        </w:rPr>
      </w:pPr>
      <w:r>
        <w:rPr>
          <w:rFonts w:asciiTheme="minorHAnsi" w:hAnsiTheme="minorHAnsi" w:cstheme="minorHAnsi"/>
          <w:sz w:val="22"/>
          <w:szCs w:val="22"/>
        </w:rPr>
        <w:t>Given that the OAM sets the legacy QoE reporting periodicity, while the RAN assembles the RVQoE configuration</w:t>
      </w:r>
      <w:r w:rsidRPr="008D2FF2">
        <w:rPr>
          <w:rFonts w:asciiTheme="minorHAnsi" w:hAnsiTheme="minorHAnsi" w:cstheme="minorHAnsi"/>
          <w:sz w:val="22"/>
          <w:szCs w:val="22"/>
        </w:rPr>
        <w:t>, we think that it should be possible to report RVQoE, not only in a separate IE, but also in a separate message from the legacy QoE report</w:t>
      </w:r>
      <w:r>
        <w:rPr>
          <w:rFonts w:asciiTheme="minorHAnsi" w:hAnsiTheme="minorHAnsi" w:cstheme="minorHAnsi"/>
          <w:sz w:val="22"/>
          <w:szCs w:val="22"/>
        </w:rPr>
        <w:t>, at a different periodicity</w:t>
      </w:r>
      <w:r w:rsidRPr="008D2FF2">
        <w:rPr>
          <w:rFonts w:asciiTheme="minorHAnsi" w:hAnsiTheme="minorHAnsi" w:cstheme="minorHAnsi"/>
          <w:sz w:val="22"/>
          <w:szCs w:val="22"/>
        </w:rPr>
        <w:t xml:space="preserve">. </w:t>
      </w:r>
    </w:p>
    <w:p w14:paraId="209450F7" w14:textId="77777777" w:rsidR="00EF1935" w:rsidRPr="008D2FF2" w:rsidRDefault="00EF1935" w:rsidP="00EF1935">
      <w:pPr>
        <w:spacing w:before="120" w:after="0"/>
        <w:jc w:val="left"/>
        <w:rPr>
          <w:rFonts w:asciiTheme="minorHAnsi" w:hAnsiTheme="minorHAnsi" w:cstheme="minorHAnsi"/>
          <w:sz w:val="22"/>
          <w:szCs w:val="22"/>
        </w:rPr>
      </w:pPr>
      <w:r>
        <w:rPr>
          <w:rFonts w:asciiTheme="minorHAnsi" w:hAnsiTheme="minorHAnsi" w:cstheme="minorHAnsi"/>
          <w:b/>
          <w:bCs/>
          <w:sz w:val="22"/>
          <w:szCs w:val="22"/>
          <w:lang w:val="en-US" w:eastAsia="en-US"/>
        </w:rPr>
        <w:lastRenderedPageBreak/>
        <w:t>Observation</w:t>
      </w:r>
      <w:r w:rsidRPr="007641F1">
        <w:rPr>
          <w:rFonts w:asciiTheme="minorHAnsi" w:hAnsiTheme="minorHAnsi" w:cstheme="minorHAnsi"/>
          <w:b/>
          <w:bCs/>
          <w:sz w:val="22"/>
          <w:szCs w:val="22"/>
          <w:lang w:val="en-US" w:eastAsia="en-US"/>
        </w:rPr>
        <w:t xml:space="preserve"> </w:t>
      </w:r>
      <w:r>
        <w:rPr>
          <w:rFonts w:asciiTheme="minorHAnsi" w:hAnsiTheme="minorHAnsi" w:cstheme="minorHAnsi"/>
          <w:b/>
          <w:bCs/>
          <w:sz w:val="22"/>
          <w:szCs w:val="22"/>
          <w:lang w:val="en-US" w:eastAsia="en-US"/>
        </w:rPr>
        <w:t>2</w:t>
      </w:r>
      <w:r w:rsidRPr="007641F1">
        <w:rPr>
          <w:rFonts w:asciiTheme="minorHAnsi" w:hAnsiTheme="minorHAnsi" w:cstheme="minorHAnsi"/>
          <w:b/>
          <w:bCs/>
          <w:sz w:val="22"/>
          <w:szCs w:val="22"/>
          <w:lang w:val="en-US" w:eastAsia="en-US"/>
        </w:rPr>
        <w:t>:</w:t>
      </w:r>
      <w:r>
        <w:rPr>
          <w:rFonts w:asciiTheme="minorHAnsi" w:hAnsiTheme="minorHAnsi" w:cstheme="minorHAnsi"/>
          <w:b/>
          <w:bCs/>
          <w:sz w:val="22"/>
          <w:szCs w:val="22"/>
          <w:lang w:val="en-US" w:eastAsia="en-US"/>
        </w:rPr>
        <w:t xml:space="preserve"> The reporting periodicity of legacy QoE measurements (i.e., </w:t>
      </w:r>
      <w:r w:rsidRPr="008C0A0A">
        <w:rPr>
          <w:rFonts w:asciiTheme="minorHAnsi" w:hAnsiTheme="minorHAnsi" w:cstheme="minorHAnsi"/>
          <w:b/>
          <w:bCs/>
          <w:i/>
          <w:iCs/>
          <w:sz w:val="22"/>
          <w:szCs w:val="22"/>
          <w:lang w:val="en-US" w:eastAsia="en-US"/>
        </w:rPr>
        <w:t xml:space="preserve">n </w:t>
      </w:r>
      <w:r>
        <w:rPr>
          <w:rFonts w:asciiTheme="minorHAnsi" w:hAnsiTheme="minorHAnsi" w:cstheme="minorHAnsi"/>
          <w:b/>
          <w:bCs/>
          <w:sz w:val="22"/>
          <w:szCs w:val="22"/>
          <w:lang w:val="en-US" w:eastAsia="en-US"/>
        </w:rPr>
        <w:t>seconds) is set by the OAM, while the RVQoE configuration is assembled by the RAN.</w:t>
      </w:r>
    </w:p>
    <w:p w14:paraId="74F2CB19" w14:textId="77777777" w:rsidR="00EF1935" w:rsidRDefault="00EF1935" w:rsidP="00EF1935">
      <w:pPr>
        <w:spacing w:before="120" w:after="0"/>
        <w:jc w:val="left"/>
        <w:rPr>
          <w:rFonts w:asciiTheme="minorHAnsi" w:hAnsiTheme="minorHAnsi" w:cstheme="minorHAnsi"/>
          <w:sz w:val="22"/>
          <w:szCs w:val="22"/>
          <w:lang w:val="en-US" w:eastAsia="en-US"/>
        </w:rPr>
      </w:pPr>
      <w:r w:rsidRPr="00BA5A99">
        <w:rPr>
          <w:rFonts w:asciiTheme="minorHAnsi" w:hAnsiTheme="minorHAnsi" w:cstheme="minorHAnsi"/>
          <w:sz w:val="22"/>
          <w:szCs w:val="22"/>
        </w:rPr>
        <w:t xml:space="preserve">Moreover, </w:t>
      </w:r>
      <w:r w:rsidRPr="00BA5A99">
        <w:rPr>
          <w:rFonts w:asciiTheme="minorHAnsi" w:hAnsiTheme="minorHAnsi" w:cstheme="minorHAnsi"/>
          <w:sz w:val="22"/>
          <w:szCs w:val="22"/>
          <w:lang w:eastAsia="en-US"/>
        </w:rPr>
        <w:t>RAN3</w:t>
      </w:r>
      <w:r>
        <w:rPr>
          <w:rFonts w:asciiTheme="minorHAnsi" w:hAnsiTheme="minorHAnsi" w:cstheme="minorHAnsi"/>
          <w:sz w:val="22"/>
          <w:szCs w:val="22"/>
          <w:lang w:eastAsia="en-US"/>
        </w:rPr>
        <w:t xml:space="preserve"> has agreed that the alignment of RVQoE and MDT measurements is based on the alignment solution for the legacy QoE. In that respect, ideally, the </w:t>
      </w:r>
      <w:r w:rsidRPr="003E7C2E">
        <w:rPr>
          <w:rFonts w:asciiTheme="minorHAnsi" w:hAnsiTheme="minorHAnsi" w:cstheme="minorHAnsi"/>
          <w:sz w:val="22"/>
          <w:szCs w:val="22"/>
          <w:lang w:val="en-US" w:eastAsia="en-US"/>
        </w:rPr>
        <w:t>M</w:t>
      </w:r>
      <w:r>
        <w:rPr>
          <w:rFonts w:asciiTheme="minorHAnsi" w:hAnsiTheme="minorHAnsi" w:cstheme="minorHAnsi"/>
          <w:sz w:val="22"/>
          <w:szCs w:val="22"/>
          <w:lang w:val="en-US" w:eastAsia="en-US"/>
        </w:rPr>
        <w:t xml:space="preserve">DT and RVQoE measurements should be possible to collect with the same periodicity. This can be achieved by, e.g., enabling the UE to report the RVQoE as often as MDT measurements. </w:t>
      </w:r>
    </w:p>
    <w:p w14:paraId="21668734" w14:textId="77777777" w:rsidR="00EF1935" w:rsidRDefault="00EF1935" w:rsidP="00EF1935">
      <w:pPr>
        <w:spacing w:before="120" w:after="0"/>
        <w:jc w:val="left"/>
        <w:rPr>
          <w:rFonts w:asciiTheme="minorHAnsi" w:hAnsiTheme="minorHAnsi" w:cstheme="minorHAnsi"/>
          <w:sz w:val="22"/>
          <w:szCs w:val="22"/>
          <w:lang w:val="en-US" w:eastAsia="en-US"/>
        </w:rPr>
      </w:pPr>
      <w:r>
        <w:rPr>
          <w:rFonts w:asciiTheme="minorHAnsi" w:hAnsiTheme="minorHAnsi" w:cstheme="minorHAnsi"/>
          <w:b/>
          <w:bCs/>
          <w:sz w:val="22"/>
          <w:szCs w:val="22"/>
          <w:lang w:val="en-US" w:eastAsia="en-US"/>
        </w:rPr>
        <w:t>Observation</w:t>
      </w:r>
      <w:r w:rsidRPr="007641F1">
        <w:rPr>
          <w:rFonts w:asciiTheme="minorHAnsi" w:hAnsiTheme="minorHAnsi" w:cstheme="minorHAnsi"/>
          <w:b/>
          <w:bCs/>
          <w:sz w:val="22"/>
          <w:szCs w:val="22"/>
          <w:lang w:val="en-US" w:eastAsia="en-US"/>
        </w:rPr>
        <w:t xml:space="preserve"> </w:t>
      </w:r>
      <w:r>
        <w:rPr>
          <w:rFonts w:asciiTheme="minorHAnsi" w:hAnsiTheme="minorHAnsi" w:cstheme="minorHAnsi"/>
          <w:b/>
          <w:bCs/>
          <w:sz w:val="22"/>
          <w:szCs w:val="22"/>
          <w:lang w:val="en-US" w:eastAsia="en-US"/>
        </w:rPr>
        <w:t>3</w:t>
      </w:r>
      <w:r w:rsidRPr="007641F1">
        <w:rPr>
          <w:rFonts w:asciiTheme="minorHAnsi" w:hAnsiTheme="minorHAnsi" w:cstheme="minorHAnsi"/>
          <w:b/>
          <w:bCs/>
          <w:sz w:val="22"/>
          <w:szCs w:val="22"/>
          <w:lang w:val="en-US" w:eastAsia="en-US"/>
        </w:rPr>
        <w:t>:</w:t>
      </w:r>
      <w:r>
        <w:rPr>
          <w:rFonts w:asciiTheme="minorHAnsi" w:hAnsiTheme="minorHAnsi" w:cstheme="minorHAnsi"/>
          <w:b/>
          <w:bCs/>
          <w:sz w:val="22"/>
          <w:szCs w:val="22"/>
          <w:lang w:val="en-US" w:eastAsia="en-US"/>
        </w:rPr>
        <w:t xml:space="preserve"> For better alignment, it should be possible to collect and report the MDT and RVQoE measurements at the same periodicity.</w:t>
      </w:r>
    </w:p>
    <w:p w14:paraId="755D98F3" w14:textId="77777777" w:rsidR="00EF1935" w:rsidRDefault="00EF1935" w:rsidP="00EF1935">
      <w:pPr>
        <w:tabs>
          <w:tab w:val="left" w:pos="6281"/>
        </w:tabs>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val="en-US" w:eastAsia="en-US"/>
        </w:rPr>
        <w:t>For example, i</w:t>
      </w:r>
      <w:r>
        <w:rPr>
          <w:rFonts w:asciiTheme="minorHAnsi" w:hAnsiTheme="minorHAnsi" w:cstheme="minorHAnsi"/>
          <w:sz w:val="22"/>
          <w:szCs w:val="22"/>
          <w:lang w:eastAsia="en-US"/>
        </w:rPr>
        <w:t xml:space="preserve">f M6 MDT measurements (i.e., packet delay measurements) are configured, the RAN node receives in the </w:t>
      </w:r>
      <w:r w:rsidRPr="000276BF">
        <w:rPr>
          <w:rFonts w:asciiTheme="minorHAnsi" w:hAnsiTheme="minorHAnsi" w:cstheme="minorHAnsi"/>
          <w:i/>
          <w:iCs/>
          <w:sz w:val="22"/>
          <w:szCs w:val="22"/>
          <w:lang w:eastAsia="en-US"/>
        </w:rPr>
        <w:t>M6 Configuration</w:t>
      </w:r>
      <w:r w:rsidRPr="000276BF">
        <w:rPr>
          <w:rFonts w:asciiTheme="minorHAnsi" w:hAnsiTheme="minorHAnsi" w:cstheme="minorHAnsi"/>
          <w:sz w:val="22"/>
          <w:szCs w:val="22"/>
          <w:lang w:eastAsia="en-US"/>
        </w:rPr>
        <w:t xml:space="preserve"> IE </w:t>
      </w:r>
      <w:r>
        <w:rPr>
          <w:rFonts w:asciiTheme="minorHAnsi" w:hAnsiTheme="minorHAnsi" w:cstheme="minorHAnsi"/>
          <w:sz w:val="22"/>
          <w:szCs w:val="22"/>
          <w:lang w:eastAsia="en-US"/>
        </w:rPr>
        <w:t>over</w:t>
      </w:r>
      <w:r w:rsidRPr="000276BF">
        <w:rPr>
          <w:rFonts w:asciiTheme="minorHAnsi" w:hAnsiTheme="minorHAnsi" w:cstheme="minorHAnsi"/>
          <w:sz w:val="22"/>
          <w:szCs w:val="22"/>
          <w:lang w:eastAsia="en-US"/>
        </w:rPr>
        <w:t xml:space="preserve"> NGAP a</w:t>
      </w:r>
      <w:r>
        <w:rPr>
          <w:rFonts w:asciiTheme="minorHAnsi" w:hAnsiTheme="minorHAnsi" w:cstheme="minorHAnsi"/>
          <w:sz w:val="22"/>
          <w:szCs w:val="22"/>
          <w:lang w:eastAsia="en-US"/>
        </w:rPr>
        <w:t>n M6</w:t>
      </w:r>
      <w:r w:rsidRPr="000276BF">
        <w:rPr>
          <w:rFonts w:asciiTheme="minorHAnsi" w:hAnsiTheme="minorHAnsi" w:cstheme="minorHAnsi"/>
          <w:sz w:val="22"/>
          <w:szCs w:val="22"/>
          <w:lang w:eastAsia="en-US"/>
        </w:rPr>
        <w:t xml:space="preserve"> Report Interval with</w:t>
      </w:r>
      <w:r>
        <w:rPr>
          <w:rFonts w:asciiTheme="minorHAnsi" w:hAnsiTheme="minorHAnsi" w:cstheme="minorHAnsi"/>
          <w:sz w:val="22"/>
          <w:szCs w:val="22"/>
          <w:lang w:eastAsia="en-US"/>
        </w:rPr>
        <w:t xml:space="preserve"> a minimum value of 120 ms and, in general, </w:t>
      </w:r>
      <w:r w:rsidRPr="000276BF">
        <w:rPr>
          <w:rFonts w:asciiTheme="minorHAnsi" w:hAnsiTheme="minorHAnsi" w:cstheme="minorHAnsi"/>
          <w:sz w:val="22"/>
          <w:szCs w:val="22"/>
          <w:lang w:eastAsia="en-US"/>
        </w:rPr>
        <w:t>quite a few values below 1 second</w:t>
      </w:r>
      <w:r>
        <w:rPr>
          <w:rFonts w:asciiTheme="minorHAnsi" w:hAnsiTheme="minorHAnsi" w:cstheme="minorHAnsi"/>
          <w:sz w:val="22"/>
          <w:szCs w:val="22"/>
          <w:lang w:eastAsia="en-US"/>
        </w:rPr>
        <w:t xml:space="preserve">, e.g.: </w:t>
      </w:r>
      <w:r w:rsidRPr="000276BF">
        <w:rPr>
          <w:rFonts w:asciiTheme="minorHAnsi" w:hAnsiTheme="minorHAnsi" w:cstheme="minorHAnsi"/>
          <w:sz w:val="22"/>
          <w:szCs w:val="22"/>
          <w:lang w:eastAsia="en-US"/>
        </w:rPr>
        <w:t>120 ms, 240 ms, 480 ms, 640 ms</w:t>
      </w:r>
      <w:r>
        <w:rPr>
          <w:rFonts w:asciiTheme="minorHAnsi" w:hAnsiTheme="minorHAnsi" w:cstheme="minorHAnsi"/>
          <w:sz w:val="22"/>
          <w:szCs w:val="22"/>
          <w:lang w:eastAsia="en-US"/>
        </w:rPr>
        <w:t>, as shown in the below excerpt from TS 38.473</w:t>
      </w:r>
      <w:r w:rsidRPr="000276BF">
        <w:rPr>
          <w:rFonts w:asciiTheme="minorHAnsi" w:hAnsiTheme="minorHAnsi" w:cstheme="minorHAnsi"/>
          <w:sz w:val="22"/>
          <w:szCs w:val="22"/>
          <w:lang w:eastAsia="en-US"/>
        </w:rPr>
        <w:t xml:space="preserve">. </w:t>
      </w:r>
    </w:p>
    <w:p w14:paraId="22C191EC" w14:textId="77777777" w:rsidR="00EF1935" w:rsidRPr="000276BF" w:rsidRDefault="00EF1935" w:rsidP="00EF1935">
      <w:pPr>
        <w:tabs>
          <w:tab w:val="left" w:pos="6281"/>
        </w:tabs>
        <w:spacing w:before="120" w:after="0"/>
        <w:jc w:val="left"/>
        <w:rPr>
          <w:rFonts w:asciiTheme="minorHAnsi" w:hAnsiTheme="minorHAnsi" w:cstheme="minorHAnsi"/>
          <w:sz w:val="22"/>
          <w:szCs w:val="22"/>
          <w:lang w:eastAsia="en-US"/>
        </w:rPr>
      </w:pPr>
    </w:p>
    <w:p w14:paraId="7707D715" w14:textId="77777777" w:rsidR="00EF1935" w:rsidRPr="004F3049" w:rsidRDefault="00EF1935" w:rsidP="00EF1935">
      <w:pPr>
        <w:rPr>
          <w:sz w:val="24"/>
          <w:szCs w:val="24"/>
        </w:rPr>
      </w:pPr>
      <w:r w:rsidRPr="004F3049">
        <w:rPr>
          <w:sz w:val="24"/>
          <w:szCs w:val="24"/>
        </w:rPr>
        <w:t>9.3.1.174</w:t>
      </w:r>
      <w:r w:rsidRPr="004F3049">
        <w:rPr>
          <w:sz w:val="24"/>
          <w:szCs w:val="24"/>
        </w:rPr>
        <w:tab/>
        <w:t>M6 Configuration</w:t>
      </w:r>
    </w:p>
    <w:p w14:paraId="02D3445B" w14:textId="77777777" w:rsidR="00EF1935" w:rsidRPr="00D037ED" w:rsidRDefault="00EF1935" w:rsidP="00EF1935">
      <w:pPr>
        <w:rPr>
          <w:rFonts w:ascii="Times New Roman" w:eastAsia="SimSun" w:hAnsi="Times New Roman"/>
          <w:sz w:val="16"/>
          <w:szCs w:val="16"/>
        </w:rPr>
      </w:pPr>
      <w:r w:rsidRPr="00D037ED">
        <w:rPr>
          <w:rFonts w:ascii="Times New Roman" w:eastAsia="SimSun" w:hAnsi="Times New Roman"/>
          <w:sz w:val="16"/>
          <w:szCs w:val="16"/>
        </w:rPr>
        <w:t>This IE defines the parameters for M6 measurement collection.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686"/>
        <w:gridCol w:w="1104"/>
        <w:gridCol w:w="3150"/>
        <w:gridCol w:w="1710"/>
      </w:tblGrid>
      <w:tr w:rsidR="00EF1935" w:rsidRPr="00046E77" w14:paraId="2336B893" w14:textId="77777777" w:rsidTr="0013544C">
        <w:tc>
          <w:tcPr>
            <w:tcW w:w="1885" w:type="dxa"/>
            <w:tcBorders>
              <w:top w:val="single" w:sz="4" w:space="0" w:color="auto"/>
              <w:left w:val="single" w:sz="4" w:space="0" w:color="auto"/>
              <w:bottom w:val="single" w:sz="4" w:space="0" w:color="auto"/>
              <w:right w:val="single" w:sz="4" w:space="0" w:color="auto"/>
            </w:tcBorders>
            <w:hideMark/>
          </w:tcPr>
          <w:p w14:paraId="7DF2171E" w14:textId="77777777" w:rsidR="00EF1935" w:rsidRPr="00D037ED" w:rsidRDefault="00EF1935" w:rsidP="0013544C">
            <w:pPr>
              <w:pStyle w:val="TAH"/>
              <w:rPr>
                <w:rFonts w:ascii="Arial" w:eastAsia="SimSun" w:hAnsi="Arial" w:cs="Arial"/>
                <w:sz w:val="14"/>
                <w:szCs w:val="18"/>
                <w:lang w:eastAsia="ja-JP"/>
              </w:rPr>
            </w:pPr>
            <w:r w:rsidRPr="00D037ED">
              <w:rPr>
                <w:rFonts w:ascii="Arial" w:eastAsia="SimSun" w:hAnsi="Arial" w:cs="Arial"/>
                <w:sz w:val="14"/>
                <w:szCs w:val="18"/>
                <w:lang w:eastAsia="ja-JP"/>
              </w:rPr>
              <w:t>IE/Group Name</w:t>
            </w:r>
          </w:p>
        </w:tc>
        <w:tc>
          <w:tcPr>
            <w:tcW w:w="1686" w:type="dxa"/>
            <w:tcBorders>
              <w:top w:val="single" w:sz="4" w:space="0" w:color="auto"/>
              <w:left w:val="single" w:sz="4" w:space="0" w:color="auto"/>
              <w:bottom w:val="single" w:sz="4" w:space="0" w:color="auto"/>
              <w:right w:val="single" w:sz="4" w:space="0" w:color="auto"/>
            </w:tcBorders>
            <w:hideMark/>
          </w:tcPr>
          <w:p w14:paraId="4B6DE5B7" w14:textId="77777777" w:rsidR="00EF1935" w:rsidRPr="00D037ED" w:rsidRDefault="00EF1935" w:rsidP="0013544C">
            <w:pPr>
              <w:pStyle w:val="TAH"/>
              <w:rPr>
                <w:rFonts w:ascii="Arial" w:eastAsia="SimSun" w:hAnsi="Arial" w:cs="Arial"/>
                <w:sz w:val="14"/>
                <w:szCs w:val="18"/>
                <w:lang w:eastAsia="ja-JP"/>
              </w:rPr>
            </w:pPr>
            <w:r w:rsidRPr="00D037ED">
              <w:rPr>
                <w:rFonts w:ascii="Arial" w:eastAsia="SimSun" w:hAnsi="Arial" w:cs="Arial"/>
                <w:sz w:val="14"/>
                <w:szCs w:val="18"/>
                <w:lang w:eastAsia="ja-JP"/>
              </w:rPr>
              <w:t>Presence</w:t>
            </w:r>
          </w:p>
        </w:tc>
        <w:tc>
          <w:tcPr>
            <w:tcW w:w="1104" w:type="dxa"/>
            <w:tcBorders>
              <w:top w:val="single" w:sz="4" w:space="0" w:color="auto"/>
              <w:left w:val="single" w:sz="4" w:space="0" w:color="auto"/>
              <w:bottom w:val="single" w:sz="4" w:space="0" w:color="auto"/>
              <w:right w:val="single" w:sz="4" w:space="0" w:color="auto"/>
            </w:tcBorders>
            <w:hideMark/>
          </w:tcPr>
          <w:p w14:paraId="52128C26" w14:textId="77777777" w:rsidR="00EF1935" w:rsidRPr="00D037ED" w:rsidRDefault="00EF1935" w:rsidP="0013544C">
            <w:pPr>
              <w:pStyle w:val="TAH"/>
              <w:rPr>
                <w:rFonts w:ascii="Arial" w:eastAsia="SimSun" w:hAnsi="Arial" w:cs="Arial"/>
                <w:sz w:val="14"/>
                <w:szCs w:val="18"/>
                <w:lang w:eastAsia="ja-JP"/>
              </w:rPr>
            </w:pPr>
            <w:r w:rsidRPr="00D037ED">
              <w:rPr>
                <w:rFonts w:ascii="Arial" w:eastAsia="SimSun" w:hAnsi="Arial" w:cs="Arial"/>
                <w:sz w:val="14"/>
                <w:szCs w:val="18"/>
                <w:lang w:eastAsia="ja-JP"/>
              </w:rPr>
              <w:t>Range</w:t>
            </w:r>
          </w:p>
        </w:tc>
        <w:tc>
          <w:tcPr>
            <w:tcW w:w="3150" w:type="dxa"/>
            <w:tcBorders>
              <w:top w:val="single" w:sz="4" w:space="0" w:color="auto"/>
              <w:left w:val="single" w:sz="4" w:space="0" w:color="auto"/>
              <w:bottom w:val="single" w:sz="4" w:space="0" w:color="auto"/>
              <w:right w:val="single" w:sz="4" w:space="0" w:color="auto"/>
            </w:tcBorders>
            <w:hideMark/>
          </w:tcPr>
          <w:p w14:paraId="2C977283" w14:textId="77777777" w:rsidR="00EF1935" w:rsidRPr="00D037ED" w:rsidRDefault="00EF1935" w:rsidP="0013544C">
            <w:pPr>
              <w:pStyle w:val="TAH"/>
              <w:rPr>
                <w:rFonts w:ascii="Arial" w:eastAsia="SimSun" w:hAnsi="Arial" w:cs="Arial"/>
                <w:sz w:val="14"/>
                <w:szCs w:val="18"/>
                <w:lang w:eastAsia="ja-JP"/>
              </w:rPr>
            </w:pPr>
            <w:r w:rsidRPr="00D037ED">
              <w:rPr>
                <w:rFonts w:ascii="Arial" w:eastAsia="SimSun" w:hAnsi="Arial" w:cs="Arial"/>
                <w:sz w:val="14"/>
                <w:szCs w:val="18"/>
                <w:lang w:eastAsia="ja-JP"/>
              </w:rPr>
              <w:t>IE type and reference</w:t>
            </w:r>
          </w:p>
        </w:tc>
        <w:tc>
          <w:tcPr>
            <w:tcW w:w="1710" w:type="dxa"/>
            <w:tcBorders>
              <w:top w:val="single" w:sz="4" w:space="0" w:color="auto"/>
              <w:left w:val="single" w:sz="4" w:space="0" w:color="auto"/>
              <w:bottom w:val="single" w:sz="4" w:space="0" w:color="auto"/>
              <w:right w:val="single" w:sz="4" w:space="0" w:color="auto"/>
            </w:tcBorders>
            <w:hideMark/>
          </w:tcPr>
          <w:p w14:paraId="4910C3DC" w14:textId="77777777" w:rsidR="00EF1935" w:rsidRPr="00D037ED" w:rsidRDefault="00EF1935" w:rsidP="0013544C">
            <w:pPr>
              <w:pStyle w:val="TAH"/>
              <w:rPr>
                <w:rFonts w:ascii="Arial" w:eastAsia="SimSun" w:hAnsi="Arial" w:cs="Arial"/>
                <w:sz w:val="14"/>
                <w:szCs w:val="18"/>
                <w:lang w:eastAsia="ja-JP"/>
              </w:rPr>
            </w:pPr>
            <w:r w:rsidRPr="00D037ED">
              <w:rPr>
                <w:rFonts w:ascii="Arial" w:eastAsia="SimSun" w:hAnsi="Arial" w:cs="Arial"/>
                <w:sz w:val="14"/>
                <w:szCs w:val="18"/>
                <w:lang w:eastAsia="ja-JP"/>
              </w:rPr>
              <w:t>Semantics description</w:t>
            </w:r>
          </w:p>
        </w:tc>
      </w:tr>
      <w:tr w:rsidR="00EF1935" w:rsidRPr="00BD3FF7" w14:paraId="76F7BDC4" w14:textId="77777777" w:rsidTr="0013544C">
        <w:tc>
          <w:tcPr>
            <w:tcW w:w="1885" w:type="dxa"/>
            <w:tcBorders>
              <w:top w:val="single" w:sz="4" w:space="0" w:color="auto"/>
              <w:left w:val="single" w:sz="4" w:space="0" w:color="auto"/>
              <w:bottom w:val="single" w:sz="4" w:space="0" w:color="auto"/>
              <w:right w:val="single" w:sz="4" w:space="0" w:color="auto"/>
            </w:tcBorders>
            <w:hideMark/>
          </w:tcPr>
          <w:p w14:paraId="0553973A" w14:textId="77777777" w:rsidR="00EF1935" w:rsidRPr="00D037ED" w:rsidRDefault="00EF1935" w:rsidP="0013544C">
            <w:pPr>
              <w:pStyle w:val="TAL"/>
              <w:rPr>
                <w:rFonts w:ascii="Times New Roman" w:eastAsia="SimSun" w:hAnsi="Times New Roman"/>
                <w:sz w:val="14"/>
                <w:szCs w:val="16"/>
                <w:lang w:eastAsia="ja-JP"/>
              </w:rPr>
            </w:pPr>
            <w:r w:rsidRPr="00D037ED">
              <w:rPr>
                <w:rFonts w:ascii="Times New Roman" w:eastAsia="SimSun" w:hAnsi="Times New Roman"/>
                <w:sz w:val="14"/>
                <w:szCs w:val="16"/>
                <w:lang w:eastAsia="ja-JP"/>
              </w:rPr>
              <w:t>M6 Report Interval</w:t>
            </w:r>
          </w:p>
        </w:tc>
        <w:tc>
          <w:tcPr>
            <w:tcW w:w="1686" w:type="dxa"/>
            <w:tcBorders>
              <w:top w:val="single" w:sz="4" w:space="0" w:color="auto"/>
              <w:left w:val="single" w:sz="4" w:space="0" w:color="auto"/>
              <w:bottom w:val="single" w:sz="4" w:space="0" w:color="auto"/>
              <w:right w:val="single" w:sz="4" w:space="0" w:color="auto"/>
            </w:tcBorders>
            <w:hideMark/>
          </w:tcPr>
          <w:p w14:paraId="72DD4BE8" w14:textId="77777777" w:rsidR="00EF1935" w:rsidRPr="00D037ED" w:rsidRDefault="00EF1935" w:rsidP="0013544C">
            <w:pPr>
              <w:pStyle w:val="TAL"/>
              <w:rPr>
                <w:rFonts w:ascii="Times New Roman" w:eastAsia="SimSun" w:hAnsi="Times New Roman"/>
                <w:sz w:val="14"/>
                <w:szCs w:val="16"/>
                <w:lang w:eastAsia="ja-JP"/>
              </w:rPr>
            </w:pPr>
            <w:r w:rsidRPr="00D037ED">
              <w:rPr>
                <w:rFonts w:ascii="Times New Roman" w:eastAsia="SimSun" w:hAnsi="Times New Roman"/>
                <w:sz w:val="14"/>
                <w:szCs w:val="16"/>
                <w:lang w:eastAsia="ja-JP"/>
              </w:rPr>
              <w:t>M</w:t>
            </w:r>
          </w:p>
        </w:tc>
        <w:tc>
          <w:tcPr>
            <w:tcW w:w="1104" w:type="dxa"/>
            <w:tcBorders>
              <w:top w:val="single" w:sz="4" w:space="0" w:color="auto"/>
              <w:left w:val="single" w:sz="4" w:space="0" w:color="auto"/>
              <w:bottom w:val="single" w:sz="4" w:space="0" w:color="auto"/>
              <w:right w:val="single" w:sz="4" w:space="0" w:color="auto"/>
            </w:tcBorders>
          </w:tcPr>
          <w:p w14:paraId="2EB5FA32" w14:textId="77777777" w:rsidR="00EF1935" w:rsidRPr="00D037ED" w:rsidRDefault="00EF1935" w:rsidP="0013544C">
            <w:pPr>
              <w:pStyle w:val="TAL"/>
              <w:rPr>
                <w:rFonts w:ascii="Times New Roman" w:eastAsia="SimSun" w:hAnsi="Times New Roman"/>
                <w:sz w:val="14"/>
                <w:szCs w:val="16"/>
                <w:lang w:eastAsia="ja-JP"/>
              </w:rPr>
            </w:pPr>
          </w:p>
        </w:tc>
        <w:tc>
          <w:tcPr>
            <w:tcW w:w="3150" w:type="dxa"/>
            <w:tcBorders>
              <w:top w:val="single" w:sz="4" w:space="0" w:color="auto"/>
              <w:left w:val="single" w:sz="4" w:space="0" w:color="auto"/>
              <w:bottom w:val="single" w:sz="4" w:space="0" w:color="auto"/>
              <w:right w:val="single" w:sz="4" w:space="0" w:color="auto"/>
            </w:tcBorders>
            <w:hideMark/>
          </w:tcPr>
          <w:p w14:paraId="164C0DD5" w14:textId="77777777" w:rsidR="00EF1935" w:rsidRPr="00D037ED" w:rsidRDefault="00EF1935" w:rsidP="0013544C">
            <w:pPr>
              <w:pStyle w:val="TAL"/>
              <w:rPr>
                <w:rFonts w:ascii="Times New Roman" w:eastAsia="SimSun" w:hAnsi="Times New Roman"/>
                <w:sz w:val="14"/>
                <w:szCs w:val="16"/>
                <w:lang w:val="sv-SE" w:eastAsia="ja-JP"/>
              </w:rPr>
            </w:pPr>
            <w:r w:rsidRPr="00D037ED">
              <w:rPr>
                <w:rFonts w:ascii="Times New Roman" w:eastAsia="SimSun" w:hAnsi="Times New Roman"/>
                <w:sz w:val="14"/>
                <w:szCs w:val="16"/>
                <w:lang w:val="sv-SE" w:eastAsia="ja-JP"/>
              </w:rPr>
              <w:t>ENUMERATED (ms120, ms240, ms480, ms640, ms1024, ms2048, ms5120, ms10240, ms20480, ms40960, min1, min6, min12, min30, …)</w:t>
            </w:r>
          </w:p>
        </w:tc>
        <w:tc>
          <w:tcPr>
            <w:tcW w:w="1710" w:type="dxa"/>
            <w:tcBorders>
              <w:top w:val="single" w:sz="4" w:space="0" w:color="auto"/>
              <w:left w:val="single" w:sz="4" w:space="0" w:color="auto"/>
              <w:bottom w:val="single" w:sz="4" w:space="0" w:color="auto"/>
              <w:right w:val="single" w:sz="4" w:space="0" w:color="auto"/>
            </w:tcBorders>
          </w:tcPr>
          <w:p w14:paraId="7EBB6AA8" w14:textId="77777777" w:rsidR="00EF1935" w:rsidRPr="00D037ED" w:rsidRDefault="00EF1935" w:rsidP="0013544C">
            <w:pPr>
              <w:pStyle w:val="TAL"/>
              <w:rPr>
                <w:rFonts w:ascii="Times New Roman" w:eastAsia="SimSun" w:hAnsi="Times New Roman"/>
                <w:sz w:val="14"/>
                <w:szCs w:val="16"/>
                <w:lang w:val="sv-SE" w:eastAsia="zh-CN"/>
              </w:rPr>
            </w:pPr>
          </w:p>
        </w:tc>
      </w:tr>
    </w:tbl>
    <w:p w14:paraId="19380975" w14:textId="77777777" w:rsidR="00EF1935" w:rsidRPr="00BD7990" w:rsidRDefault="00EF1935" w:rsidP="00EF1935">
      <w:pPr>
        <w:pStyle w:val="Observation"/>
        <w:numPr>
          <w:ilvl w:val="0"/>
          <w:numId w:val="0"/>
        </w:numPr>
        <w:spacing w:before="120" w:after="0"/>
        <w:jc w:val="left"/>
        <w:rPr>
          <w:rFonts w:asciiTheme="minorHAnsi" w:hAnsiTheme="minorHAnsi" w:cstheme="minorHAnsi"/>
          <w:sz w:val="22"/>
          <w:szCs w:val="22"/>
          <w:lang w:val="sv-SE"/>
        </w:rPr>
      </w:pPr>
    </w:p>
    <w:p w14:paraId="15CF8DB8" w14:textId="77777777" w:rsidR="00EF1935" w:rsidRPr="005D334E" w:rsidRDefault="00EF1935" w:rsidP="00EF1935">
      <w:pPr>
        <w:pStyle w:val="Observation"/>
        <w:numPr>
          <w:ilvl w:val="0"/>
          <w:numId w:val="0"/>
        </w:numPr>
        <w:spacing w:before="120" w:after="0"/>
        <w:jc w:val="left"/>
        <w:rPr>
          <w:rFonts w:ascii="Calibri" w:hAnsi="Calibri"/>
          <w:b w:val="0"/>
          <w:bCs w:val="0"/>
          <w:sz w:val="22"/>
          <w:szCs w:val="22"/>
          <w:lang w:val="en-US"/>
        </w:rPr>
      </w:pPr>
      <w:r w:rsidRPr="005743AB">
        <w:rPr>
          <w:rFonts w:asciiTheme="minorHAnsi" w:hAnsiTheme="minorHAnsi" w:cstheme="minorHAnsi"/>
          <w:b w:val="0"/>
          <w:bCs w:val="0"/>
          <w:sz w:val="22"/>
          <w:szCs w:val="22"/>
          <w:lang w:eastAsia="en-US"/>
        </w:rPr>
        <w:t>Th</w:t>
      </w:r>
      <w:r>
        <w:rPr>
          <w:rFonts w:asciiTheme="minorHAnsi" w:hAnsiTheme="minorHAnsi" w:cstheme="minorHAnsi"/>
          <w:b w:val="0"/>
          <w:bCs w:val="0"/>
          <w:sz w:val="22"/>
          <w:szCs w:val="22"/>
          <w:lang w:eastAsia="en-US"/>
        </w:rPr>
        <w:t>e M6 reporting periodicities are</w:t>
      </w:r>
      <w:r w:rsidRPr="005743AB">
        <w:rPr>
          <w:rFonts w:asciiTheme="minorHAnsi" w:hAnsiTheme="minorHAnsi" w:cstheme="minorHAnsi"/>
          <w:b w:val="0"/>
          <w:bCs w:val="0"/>
          <w:sz w:val="22"/>
          <w:szCs w:val="22"/>
          <w:lang w:eastAsia="en-US"/>
        </w:rPr>
        <w:t xml:space="preserve"> quite different from the periodicities defined for reporting the legacy QoE., where the TS 26.247, in the definition of </w:t>
      </w:r>
      <w:r w:rsidRPr="005743AB">
        <w:rPr>
          <w:rFonts w:ascii="Courier New" w:hAnsi="Courier New" w:cs="Courier New"/>
          <w:b w:val="0"/>
          <w:bCs w:val="0"/>
        </w:rPr>
        <w:t>@reportinginterval</w:t>
      </w:r>
      <w:r w:rsidRPr="005743AB">
        <w:rPr>
          <w:rFonts w:asciiTheme="minorHAnsi" w:hAnsiTheme="minorHAnsi" w:cstheme="minorHAnsi"/>
          <w:b w:val="0"/>
          <w:bCs w:val="0"/>
          <w:sz w:val="22"/>
          <w:szCs w:val="22"/>
          <w:lang w:eastAsia="en-US"/>
        </w:rPr>
        <w:t xml:space="preserve"> </w:t>
      </w:r>
      <w:r>
        <w:rPr>
          <w:rFonts w:asciiTheme="minorHAnsi" w:hAnsiTheme="minorHAnsi" w:cstheme="minorHAnsi"/>
          <w:b w:val="0"/>
          <w:bCs w:val="0"/>
          <w:sz w:val="22"/>
          <w:szCs w:val="22"/>
          <w:lang w:eastAsia="en-US"/>
        </w:rPr>
        <w:t xml:space="preserve">of the legacy QoE Buffer Level metric </w:t>
      </w:r>
      <w:r w:rsidRPr="005743AB">
        <w:rPr>
          <w:rFonts w:asciiTheme="minorHAnsi" w:hAnsiTheme="minorHAnsi" w:cstheme="minorHAnsi"/>
          <w:b w:val="0"/>
          <w:bCs w:val="0"/>
          <w:sz w:val="22"/>
          <w:szCs w:val="22"/>
          <w:lang w:eastAsia="en-US"/>
        </w:rPr>
        <w:t>speaks about reporting “every n-</w:t>
      </w:r>
      <w:proofErr w:type="spellStart"/>
      <w:r w:rsidRPr="005743AB">
        <w:rPr>
          <w:rFonts w:asciiTheme="minorHAnsi" w:hAnsiTheme="minorHAnsi" w:cstheme="minorHAnsi"/>
          <w:b w:val="0"/>
          <w:bCs w:val="0"/>
          <w:sz w:val="22"/>
          <w:szCs w:val="22"/>
          <w:lang w:eastAsia="en-US"/>
        </w:rPr>
        <w:t>th</w:t>
      </w:r>
      <w:proofErr w:type="spellEnd"/>
      <w:r w:rsidRPr="005743AB">
        <w:rPr>
          <w:rFonts w:asciiTheme="minorHAnsi" w:hAnsiTheme="minorHAnsi" w:cstheme="minorHAnsi"/>
          <w:b w:val="0"/>
          <w:bCs w:val="0"/>
          <w:sz w:val="22"/>
          <w:szCs w:val="22"/>
          <w:lang w:eastAsia="en-US"/>
        </w:rPr>
        <w:t xml:space="preserve"> second”</w:t>
      </w:r>
      <w:r>
        <w:rPr>
          <w:rFonts w:asciiTheme="minorHAnsi" w:hAnsiTheme="minorHAnsi" w:cstheme="minorHAnsi"/>
          <w:b w:val="0"/>
          <w:bCs w:val="0"/>
          <w:sz w:val="22"/>
          <w:szCs w:val="22"/>
          <w:lang w:eastAsia="en-US"/>
        </w:rPr>
        <w:t xml:space="preserve">, meaning that </w:t>
      </w:r>
      <w:r w:rsidRPr="005D334E">
        <w:rPr>
          <w:rFonts w:asciiTheme="minorHAnsi" w:hAnsiTheme="minorHAnsi" w:cstheme="minorHAnsi"/>
          <w:b w:val="0"/>
          <w:bCs w:val="0"/>
          <w:sz w:val="22"/>
          <w:szCs w:val="22"/>
          <w:lang w:eastAsia="en-US"/>
        </w:rPr>
        <w:t xml:space="preserve">the minimum reporting interval specified in </w:t>
      </w:r>
      <w:r w:rsidRPr="005D334E">
        <w:rPr>
          <w:rFonts w:ascii="Calibri" w:hAnsi="Calibri"/>
          <w:b w:val="0"/>
          <w:bCs w:val="0"/>
          <w:sz w:val="22"/>
          <w:szCs w:val="22"/>
          <w:lang w:val="en-US"/>
        </w:rPr>
        <w:t xml:space="preserve">TS 26.247 for </w:t>
      </w:r>
      <w:r>
        <w:rPr>
          <w:rFonts w:ascii="Calibri" w:hAnsi="Calibri"/>
          <w:b w:val="0"/>
          <w:bCs w:val="0"/>
          <w:sz w:val="22"/>
          <w:szCs w:val="22"/>
          <w:lang w:val="en-US"/>
        </w:rPr>
        <w:t>legacy</w:t>
      </w:r>
      <w:r>
        <w:rPr>
          <w:rFonts w:asciiTheme="minorHAnsi" w:hAnsiTheme="minorHAnsi" w:cstheme="minorHAnsi"/>
          <w:b w:val="0"/>
          <w:bCs w:val="0"/>
          <w:sz w:val="22"/>
          <w:szCs w:val="22"/>
          <w:lang w:eastAsia="en-US"/>
        </w:rPr>
        <w:t xml:space="preserve"> QoE Buffer Level</w:t>
      </w:r>
      <w:r w:rsidRPr="005D334E">
        <w:rPr>
          <w:rFonts w:ascii="Calibri" w:hAnsi="Calibri"/>
          <w:b w:val="0"/>
          <w:bCs w:val="0"/>
          <w:sz w:val="22"/>
          <w:szCs w:val="22"/>
          <w:lang w:val="en-US"/>
        </w:rPr>
        <w:t xml:space="preserve"> is 1 second, as indicated below.</w:t>
      </w:r>
    </w:p>
    <w:p w14:paraId="567C98DE" w14:textId="77777777" w:rsidR="00EF1935" w:rsidRPr="005D334E" w:rsidRDefault="00EF1935" w:rsidP="00EF1935">
      <w:pPr>
        <w:spacing w:before="120" w:after="0"/>
        <w:jc w:val="left"/>
        <w:rPr>
          <w:rFonts w:ascii="Calibri" w:hAnsi="Calibri"/>
          <w:sz w:val="22"/>
          <w:szCs w:val="22"/>
          <w:lang w:val="en-US" w:eastAsia="sv-SE"/>
        </w:rPr>
      </w:pPr>
    </w:p>
    <w:tbl>
      <w:tblPr>
        <w:tblW w:w="4112" w:type="pct"/>
        <w:tblCellMar>
          <w:left w:w="0" w:type="dxa"/>
          <w:right w:w="0" w:type="dxa"/>
        </w:tblCellMar>
        <w:tblLook w:val="04A0" w:firstRow="1" w:lastRow="0" w:firstColumn="1" w:lastColumn="0" w:noHBand="0" w:noVBand="1"/>
      </w:tblPr>
      <w:tblGrid>
        <w:gridCol w:w="2081"/>
        <w:gridCol w:w="277"/>
        <w:gridCol w:w="5553"/>
      </w:tblGrid>
      <w:tr w:rsidR="00EF1935" w14:paraId="6AB11F78" w14:textId="77777777" w:rsidTr="0013544C">
        <w:tc>
          <w:tcPr>
            <w:tcW w:w="1315" w:type="pct"/>
            <w:tcBorders>
              <w:top w:val="single" w:sz="8" w:space="0" w:color="000000"/>
              <w:left w:val="single" w:sz="8" w:space="0" w:color="000000"/>
              <w:bottom w:val="single" w:sz="8" w:space="0" w:color="000000"/>
              <w:right w:val="single" w:sz="8" w:space="0" w:color="000000"/>
            </w:tcBorders>
            <w:tcMar>
              <w:top w:w="0" w:type="dxa"/>
              <w:left w:w="28" w:type="dxa"/>
              <w:bottom w:w="0" w:type="dxa"/>
              <w:right w:w="108" w:type="dxa"/>
            </w:tcMar>
            <w:hideMark/>
          </w:tcPr>
          <w:p w14:paraId="0501725D" w14:textId="77777777" w:rsidR="00EF1935" w:rsidRDefault="00EF1935" w:rsidP="0013544C">
            <w:pPr>
              <w:pStyle w:val="TAL"/>
              <w:rPr>
                <w:rFonts w:ascii="Courier New" w:hAnsi="Courier New" w:cs="Courier New"/>
                <w:szCs w:val="18"/>
                <w:lang w:val="en-GB"/>
              </w:rPr>
            </w:pPr>
            <w:r>
              <w:rPr>
                <w:rFonts w:ascii="Courier New" w:hAnsi="Courier New" w:cs="Courier New"/>
                <w:lang w:val="en-GB"/>
              </w:rPr>
              <w:t>@reportinginterval</w:t>
            </w:r>
          </w:p>
        </w:tc>
        <w:tc>
          <w:tcPr>
            <w:tcW w:w="175" w:type="pct"/>
            <w:tcBorders>
              <w:top w:val="single" w:sz="8" w:space="0" w:color="000000"/>
              <w:left w:val="nil"/>
              <w:bottom w:val="single" w:sz="8" w:space="0" w:color="000000"/>
              <w:right w:val="single" w:sz="8" w:space="0" w:color="000000"/>
            </w:tcBorders>
            <w:tcMar>
              <w:top w:w="0" w:type="dxa"/>
              <w:left w:w="28" w:type="dxa"/>
              <w:bottom w:w="0" w:type="dxa"/>
              <w:right w:w="108" w:type="dxa"/>
            </w:tcMar>
            <w:hideMark/>
          </w:tcPr>
          <w:p w14:paraId="238D1AFA" w14:textId="77777777" w:rsidR="00EF1935" w:rsidRDefault="00EF1935" w:rsidP="0013544C">
            <w:pPr>
              <w:pStyle w:val="TAC"/>
              <w:rPr>
                <w:rFonts w:cs="Arial"/>
                <w:szCs w:val="18"/>
                <w:lang w:eastAsia="zh-CN"/>
              </w:rPr>
            </w:pPr>
            <w:r>
              <w:rPr>
                <w:lang w:eastAsia="zh-CN"/>
              </w:rPr>
              <w:t>O</w:t>
            </w:r>
          </w:p>
        </w:tc>
        <w:tc>
          <w:tcPr>
            <w:tcW w:w="3509" w:type="pct"/>
            <w:tcBorders>
              <w:top w:val="single" w:sz="8" w:space="0" w:color="000000"/>
              <w:left w:val="nil"/>
              <w:bottom w:val="single" w:sz="8" w:space="0" w:color="000000"/>
              <w:right w:val="single" w:sz="8" w:space="0" w:color="000000"/>
            </w:tcBorders>
            <w:tcMar>
              <w:top w:w="0" w:type="dxa"/>
              <w:left w:w="28" w:type="dxa"/>
              <w:bottom w:w="0" w:type="dxa"/>
              <w:right w:w="108" w:type="dxa"/>
            </w:tcMar>
            <w:hideMark/>
          </w:tcPr>
          <w:p w14:paraId="77509D58" w14:textId="77777777" w:rsidR="00EF1935" w:rsidRDefault="00EF1935" w:rsidP="0013544C">
            <w:pPr>
              <w:pStyle w:val="TAL"/>
              <w:rPr>
                <w:lang w:val="en-GB" w:eastAsia="sv-SE"/>
              </w:rPr>
            </w:pPr>
            <w:r>
              <w:rPr>
                <w:lang w:val="en-GB"/>
              </w:rPr>
              <w:t xml:space="preserve">Indicates the time(s) reports should be sent. If not present, then the client should send a report after the streaming session has ended. If present, </w:t>
            </w:r>
            <w:r>
              <w:rPr>
                <w:rFonts w:ascii="Courier New" w:hAnsi="Courier New" w:cs="Courier New"/>
                <w:lang w:val="en-GB"/>
              </w:rPr>
              <w:t>@reportingInterval=n</w:t>
            </w:r>
            <w:r>
              <w:rPr>
                <w:lang w:val="en-GB"/>
              </w:rPr>
              <w:t xml:space="preserve"> indicates that the client should send a report </w:t>
            </w:r>
            <w:r w:rsidRPr="00047B62">
              <w:rPr>
                <w:highlight w:val="yellow"/>
                <w:lang w:val="en-GB"/>
              </w:rPr>
              <w:t>every n-</w:t>
            </w:r>
            <w:proofErr w:type="spellStart"/>
            <w:r w:rsidRPr="00047B62">
              <w:rPr>
                <w:highlight w:val="yellow"/>
                <w:lang w:val="en-GB"/>
              </w:rPr>
              <w:t>th</w:t>
            </w:r>
            <w:proofErr w:type="spellEnd"/>
            <w:r w:rsidRPr="00047B62">
              <w:rPr>
                <w:highlight w:val="yellow"/>
                <w:lang w:val="en-GB"/>
              </w:rPr>
              <w:t xml:space="preserve"> second</w:t>
            </w:r>
            <w:r>
              <w:rPr>
                <w:lang w:val="en-GB"/>
              </w:rPr>
              <w:t xml:space="preserve"> provided that new metrics information has become available since the previous report. For each report sent, only the newly collected information since the previous report shall be reported.</w:t>
            </w:r>
          </w:p>
        </w:tc>
      </w:tr>
    </w:tbl>
    <w:p w14:paraId="28112B04" w14:textId="77777777" w:rsidR="00EF1935" w:rsidRPr="00F509FA" w:rsidRDefault="00EF1935" w:rsidP="00EF1935">
      <w:pPr>
        <w:rPr>
          <w:rFonts w:ascii="SimSun" w:eastAsia="SimSun" w:hAnsi="SimSun" w:cs="Calibri"/>
          <w:color w:val="000096"/>
          <w:sz w:val="18"/>
          <w:szCs w:val="18"/>
          <w:lang w:val="en-US" w:eastAsia="de-DE"/>
        </w:rPr>
      </w:pPr>
      <w:r w:rsidRPr="00F509FA">
        <w:rPr>
          <w:rFonts w:hint="eastAsia"/>
          <w:color w:val="003296"/>
          <w:sz w:val="18"/>
          <w:szCs w:val="18"/>
          <w:lang w:val="en-US" w:eastAsia="de-DE"/>
        </w:rPr>
        <w:t>&lt;</w:t>
      </w:r>
      <w:proofErr w:type="spellStart"/>
      <w:proofErr w:type="gramStart"/>
      <w:r w:rsidRPr="00F509FA">
        <w:rPr>
          <w:rFonts w:hint="eastAsia"/>
          <w:color w:val="003296"/>
          <w:sz w:val="18"/>
          <w:szCs w:val="18"/>
          <w:lang w:val="en-US" w:eastAsia="de-DE"/>
        </w:rPr>
        <w:t>xs:attribute</w:t>
      </w:r>
      <w:proofErr w:type="spellEnd"/>
      <w:proofErr w:type="gramEnd"/>
      <w:r w:rsidRPr="00F509FA">
        <w:rPr>
          <w:rFonts w:hint="eastAsia"/>
          <w:color w:val="F5844C"/>
          <w:sz w:val="18"/>
          <w:szCs w:val="18"/>
          <w:lang w:val="en-US" w:eastAsia="de-DE"/>
        </w:rPr>
        <w:t xml:space="preserve"> name</w:t>
      </w:r>
      <w:r w:rsidRPr="00F509FA">
        <w:rPr>
          <w:rFonts w:hint="eastAsia"/>
          <w:color w:val="FF8040"/>
          <w:sz w:val="18"/>
          <w:szCs w:val="18"/>
          <w:lang w:val="en-US" w:eastAsia="de-DE"/>
        </w:rPr>
        <w:t>=</w:t>
      </w:r>
      <w:r w:rsidRPr="00F509FA">
        <w:rPr>
          <w:rFonts w:hint="eastAsia"/>
          <w:sz w:val="18"/>
          <w:szCs w:val="18"/>
          <w:lang w:val="en-US" w:eastAsia="de-DE"/>
        </w:rPr>
        <w:t>"</w:t>
      </w:r>
      <w:proofErr w:type="spellStart"/>
      <w:r w:rsidRPr="00F509FA">
        <w:rPr>
          <w:rFonts w:hint="eastAsia"/>
          <w:sz w:val="18"/>
          <w:szCs w:val="18"/>
          <w:lang w:val="en-US" w:eastAsia="de-DE"/>
        </w:rPr>
        <w:t>reportingInterval</w:t>
      </w:r>
      <w:proofErr w:type="spellEnd"/>
      <w:r w:rsidRPr="00F509FA">
        <w:rPr>
          <w:rFonts w:hint="eastAsia"/>
          <w:sz w:val="18"/>
          <w:szCs w:val="18"/>
          <w:lang w:val="en-US" w:eastAsia="de-DE"/>
        </w:rPr>
        <w:t>"</w:t>
      </w:r>
      <w:r w:rsidRPr="00F509FA">
        <w:rPr>
          <w:rFonts w:hint="eastAsia"/>
          <w:color w:val="F5844C"/>
          <w:sz w:val="18"/>
          <w:szCs w:val="18"/>
          <w:lang w:val="en-US" w:eastAsia="de-DE"/>
        </w:rPr>
        <w:t xml:space="preserve"> type</w:t>
      </w:r>
      <w:r w:rsidRPr="00F509FA">
        <w:rPr>
          <w:rFonts w:hint="eastAsia"/>
          <w:color w:val="FF8040"/>
          <w:sz w:val="18"/>
          <w:szCs w:val="18"/>
          <w:lang w:val="en-US" w:eastAsia="de-DE"/>
        </w:rPr>
        <w:t>=</w:t>
      </w:r>
      <w:r w:rsidRPr="00F509FA">
        <w:rPr>
          <w:rFonts w:hint="eastAsia"/>
          <w:sz w:val="18"/>
          <w:szCs w:val="18"/>
          <w:lang w:val="en-US" w:eastAsia="de-DE"/>
        </w:rPr>
        <w:t>"</w:t>
      </w:r>
      <w:proofErr w:type="spellStart"/>
      <w:r w:rsidRPr="00F509FA">
        <w:rPr>
          <w:rFonts w:hint="eastAsia"/>
          <w:sz w:val="18"/>
          <w:szCs w:val="18"/>
          <w:lang w:val="en-US" w:eastAsia="de-DE"/>
        </w:rPr>
        <w:t>xs:unsignedInt</w:t>
      </w:r>
      <w:proofErr w:type="spellEnd"/>
      <w:r w:rsidRPr="00F509FA">
        <w:rPr>
          <w:rFonts w:hint="eastAsia"/>
          <w:sz w:val="18"/>
          <w:szCs w:val="18"/>
          <w:lang w:val="en-US" w:eastAsia="de-DE"/>
        </w:rPr>
        <w:t>"</w:t>
      </w:r>
      <w:r w:rsidRPr="00F509FA">
        <w:rPr>
          <w:rFonts w:hint="eastAsia"/>
          <w:color w:val="F5844C"/>
          <w:sz w:val="18"/>
          <w:szCs w:val="18"/>
          <w:lang w:val="en-US" w:eastAsia="de-DE"/>
        </w:rPr>
        <w:t xml:space="preserve"> use</w:t>
      </w:r>
      <w:r w:rsidRPr="00F509FA">
        <w:rPr>
          <w:rFonts w:hint="eastAsia"/>
          <w:color w:val="FF8040"/>
          <w:sz w:val="18"/>
          <w:szCs w:val="18"/>
          <w:lang w:val="en-US" w:eastAsia="de-DE"/>
        </w:rPr>
        <w:t>=</w:t>
      </w:r>
      <w:r w:rsidRPr="00F509FA">
        <w:rPr>
          <w:rFonts w:hint="eastAsia"/>
          <w:sz w:val="18"/>
          <w:szCs w:val="18"/>
          <w:lang w:val="en-US" w:eastAsia="de-DE"/>
        </w:rPr>
        <w:t>"optional"</w:t>
      </w:r>
      <w:r w:rsidRPr="00F509FA">
        <w:rPr>
          <w:rFonts w:hint="eastAsia"/>
          <w:color w:val="000096"/>
          <w:sz w:val="18"/>
          <w:szCs w:val="18"/>
          <w:lang w:val="en-US" w:eastAsia="de-DE"/>
        </w:rPr>
        <w:t>/&gt;</w:t>
      </w:r>
    </w:p>
    <w:p w14:paraId="35AC0BED" w14:textId="77777777" w:rsidR="00EF1935" w:rsidRDefault="00EF1935" w:rsidP="00EF1935">
      <w:pPr>
        <w:pStyle w:val="Observation"/>
        <w:numPr>
          <w:ilvl w:val="0"/>
          <w:numId w:val="0"/>
        </w:numPr>
        <w:spacing w:before="120" w:after="0"/>
        <w:jc w:val="left"/>
        <w:rPr>
          <w:rFonts w:asciiTheme="minorHAnsi" w:hAnsiTheme="minorHAnsi" w:cstheme="minorHAnsi"/>
          <w:sz w:val="22"/>
          <w:szCs w:val="22"/>
        </w:rPr>
      </w:pPr>
      <w:r>
        <w:rPr>
          <w:rFonts w:asciiTheme="minorHAnsi" w:hAnsiTheme="minorHAnsi" w:cstheme="minorHAnsi"/>
          <w:b w:val="0"/>
          <w:bCs w:val="0"/>
          <w:sz w:val="22"/>
          <w:szCs w:val="22"/>
          <w:lang w:eastAsia="en-US"/>
        </w:rPr>
        <w:t>Based on the abov</w:t>
      </w:r>
      <w:r w:rsidRPr="005743AB">
        <w:rPr>
          <w:rFonts w:asciiTheme="minorHAnsi" w:hAnsiTheme="minorHAnsi" w:cstheme="minorHAnsi"/>
          <w:b w:val="0"/>
          <w:bCs w:val="0"/>
          <w:sz w:val="22"/>
          <w:szCs w:val="22"/>
          <w:lang w:eastAsia="en-US"/>
        </w:rPr>
        <w:t>e, we propose to specify the reporting interval for RVQoE metrics aligned with the minimum reporting interval used for the MDT measurements.</w:t>
      </w:r>
      <w:r>
        <w:rPr>
          <w:rFonts w:asciiTheme="minorHAnsi" w:hAnsiTheme="minorHAnsi" w:cstheme="minorHAnsi"/>
          <w:b w:val="0"/>
          <w:bCs w:val="0"/>
          <w:sz w:val="22"/>
          <w:szCs w:val="22"/>
          <w:lang w:eastAsia="en-US"/>
        </w:rPr>
        <w:t xml:space="preserve"> Moreover, we notice that M1 and M5 periodicities are a subset of M6 reporting periodicities. Finally, we think that the maximum interval for M7 measurements, i.e., 60 minutes, should also be supported.</w:t>
      </w:r>
    </w:p>
    <w:p w14:paraId="245243EA" w14:textId="77777777" w:rsidR="00EF1935" w:rsidRPr="00AC3889" w:rsidRDefault="00EF1935" w:rsidP="00EF1935">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Proposal</w:t>
      </w:r>
      <w:r w:rsidRPr="000106B6">
        <w:rPr>
          <w:rFonts w:asciiTheme="minorHAnsi" w:hAnsiTheme="minorHAnsi" w:cstheme="minorHAnsi"/>
          <w:sz w:val="22"/>
          <w:szCs w:val="22"/>
        </w:rPr>
        <w:t xml:space="preserve"> </w:t>
      </w:r>
      <w:r>
        <w:rPr>
          <w:rFonts w:asciiTheme="minorHAnsi" w:hAnsiTheme="minorHAnsi" w:cstheme="minorHAnsi"/>
          <w:sz w:val="22"/>
          <w:szCs w:val="22"/>
        </w:rPr>
        <w:t>1</w:t>
      </w:r>
      <w:r w:rsidRPr="008D2FF2">
        <w:rPr>
          <w:rFonts w:asciiTheme="minorHAnsi" w:hAnsiTheme="minorHAnsi" w:cstheme="minorHAnsi"/>
          <w:sz w:val="22"/>
          <w:szCs w:val="22"/>
        </w:rPr>
        <w:t xml:space="preserve">: The </w:t>
      </w:r>
      <w:r>
        <w:rPr>
          <w:rFonts w:asciiTheme="minorHAnsi" w:hAnsiTheme="minorHAnsi" w:cstheme="minorHAnsi"/>
          <w:sz w:val="22"/>
          <w:szCs w:val="22"/>
        </w:rPr>
        <w:t>RV</w:t>
      </w:r>
      <w:r w:rsidRPr="008D2FF2">
        <w:rPr>
          <w:rFonts w:asciiTheme="minorHAnsi" w:hAnsiTheme="minorHAnsi" w:cstheme="minorHAnsi"/>
          <w:sz w:val="22"/>
          <w:szCs w:val="22"/>
        </w:rPr>
        <w:t xml:space="preserve">QoE reports and legacy QoE reports may be delivered </w:t>
      </w:r>
      <w:r w:rsidRPr="00AC3889">
        <w:rPr>
          <w:rFonts w:asciiTheme="minorHAnsi" w:hAnsiTheme="minorHAnsi" w:cstheme="minorHAnsi"/>
          <w:sz w:val="22"/>
          <w:szCs w:val="22"/>
        </w:rPr>
        <w:t>in separate messages</w:t>
      </w:r>
      <w:r>
        <w:rPr>
          <w:rFonts w:asciiTheme="minorHAnsi" w:hAnsiTheme="minorHAnsi" w:cstheme="minorHAnsi"/>
          <w:sz w:val="22"/>
          <w:szCs w:val="22"/>
        </w:rPr>
        <w:t xml:space="preserve"> and at separate periodicities</w:t>
      </w:r>
      <w:r w:rsidRPr="00AC3889">
        <w:rPr>
          <w:rFonts w:asciiTheme="minorHAnsi" w:hAnsiTheme="minorHAnsi" w:cstheme="minorHAnsi"/>
          <w:sz w:val="22"/>
          <w:szCs w:val="22"/>
        </w:rPr>
        <w:t>.</w:t>
      </w:r>
    </w:p>
    <w:p w14:paraId="0304200F" w14:textId="77777777" w:rsidR="00EF1935" w:rsidRDefault="00EF1935" w:rsidP="00EF1935">
      <w:pPr>
        <w:pStyle w:val="Observation"/>
        <w:numPr>
          <w:ilvl w:val="0"/>
          <w:numId w:val="0"/>
        </w:numPr>
        <w:spacing w:before="120" w:after="0"/>
        <w:jc w:val="left"/>
        <w:rPr>
          <w:rFonts w:asciiTheme="minorHAnsi" w:hAnsiTheme="minorHAnsi" w:cstheme="minorHAnsi"/>
          <w:sz w:val="22"/>
          <w:szCs w:val="22"/>
          <w:lang w:eastAsia="en-US"/>
        </w:rPr>
      </w:pPr>
      <w:r w:rsidRPr="00AC3889">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2</w:t>
      </w:r>
      <w:r w:rsidRPr="00AC3889">
        <w:rPr>
          <w:rFonts w:asciiTheme="minorHAnsi" w:hAnsiTheme="minorHAnsi" w:cstheme="minorHAnsi"/>
          <w:sz w:val="22"/>
          <w:szCs w:val="22"/>
          <w:lang w:eastAsia="en-US"/>
        </w:rPr>
        <w:t>: RAN3 to specify a reporting interval for RVQoE metrics with the following values</w:t>
      </w:r>
      <w:r w:rsidRPr="00AC3889">
        <w:rPr>
          <w:rFonts w:asciiTheme="minorHAnsi" w:hAnsiTheme="minorHAnsi" w:cstheme="minorHAnsi"/>
          <w:sz w:val="22"/>
          <w:szCs w:val="22"/>
        </w:rPr>
        <w:t>: ms120, ms240, ms480, ms640, ms1024, ms2048, ms5120, ms10240, ms20480, ms40960, min1, min6, min12, min30, min60.</w:t>
      </w:r>
    </w:p>
    <w:p w14:paraId="504E8DD4" w14:textId="77777777" w:rsidR="00EF1935" w:rsidRDefault="00EF1935" w:rsidP="00EF1935">
      <w:pPr>
        <w:pStyle w:val="Observation"/>
        <w:numPr>
          <w:ilvl w:val="0"/>
          <w:numId w:val="0"/>
        </w:numPr>
        <w:spacing w:before="120" w:after="0"/>
        <w:jc w:val="left"/>
        <w:rPr>
          <w:rFonts w:asciiTheme="minorHAnsi" w:hAnsiTheme="minorHAnsi" w:cstheme="minorHAnsi"/>
          <w:b w:val="0"/>
          <w:bCs w:val="0"/>
          <w:sz w:val="22"/>
          <w:szCs w:val="22"/>
          <w:lang w:eastAsia="en-US"/>
        </w:rPr>
      </w:pPr>
      <w:r w:rsidRPr="00280394">
        <w:rPr>
          <w:rFonts w:asciiTheme="minorHAnsi" w:hAnsiTheme="minorHAnsi" w:cstheme="minorHAnsi"/>
          <w:b w:val="0"/>
          <w:bCs w:val="0"/>
          <w:sz w:val="22"/>
          <w:szCs w:val="22"/>
          <w:lang w:eastAsia="en-US"/>
        </w:rPr>
        <w:t>If the</w:t>
      </w:r>
      <w:r>
        <w:rPr>
          <w:rFonts w:asciiTheme="minorHAnsi" w:hAnsiTheme="minorHAnsi" w:cstheme="minorHAnsi"/>
          <w:b w:val="0"/>
          <w:bCs w:val="0"/>
          <w:sz w:val="22"/>
          <w:szCs w:val="22"/>
          <w:lang w:eastAsia="en-US"/>
        </w:rPr>
        <w:t xml:space="preserve"> reporting periodicity of RVQoE is not explicitly indicated in the RVQoE configuration, RVQoE reports can be sent together with the legacy QoE reports.</w:t>
      </w:r>
      <w:r w:rsidRPr="00280394">
        <w:rPr>
          <w:rFonts w:asciiTheme="minorHAnsi" w:hAnsiTheme="minorHAnsi" w:cstheme="minorHAnsi"/>
          <w:b w:val="0"/>
          <w:bCs w:val="0"/>
          <w:sz w:val="22"/>
          <w:szCs w:val="22"/>
          <w:lang w:eastAsia="en-US"/>
        </w:rPr>
        <w:t xml:space="preserve"> </w:t>
      </w:r>
    </w:p>
    <w:p w14:paraId="70A3E890" w14:textId="77777777" w:rsidR="00EF1935" w:rsidRDefault="00EF1935" w:rsidP="00EF1935">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Proposal</w:t>
      </w:r>
      <w:r w:rsidRPr="000106B6">
        <w:rPr>
          <w:rFonts w:asciiTheme="minorHAnsi" w:hAnsiTheme="minorHAnsi" w:cstheme="minorHAnsi"/>
          <w:sz w:val="22"/>
          <w:szCs w:val="22"/>
        </w:rPr>
        <w:t xml:space="preserve"> </w:t>
      </w:r>
      <w:r>
        <w:rPr>
          <w:rFonts w:asciiTheme="minorHAnsi" w:hAnsiTheme="minorHAnsi" w:cstheme="minorHAnsi"/>
          <w:sz w:val="22"/>
          <w:szCs w:val="22"/>
        </w:rPr>
        <w:t>3</w:t>
      </w:r>
      <w:r w:rsidRPr="00180F34">
        <w:rPr>
          <w:rFonts w:asciiTheme="minorHAnsi" w:hAnsiTheme="minorHAnsi" w:cstheme="minorHAnsi"/>
          <w:sz w:val="22"/>
          <w:szCs w:val="22"/>
        </w:rPr>
        <w:t>:</w:t>
      </w:r>
      <w:r w:rsidRPr="00180F34">
        <w:rPr>
          <w:rFonts w:asciiTheme="minorHAnsi" w:hAnsiTheme="minorHAnsi" w:cstheme="minorHAnsi"/>
          <w:sz w:val="22"/>
          <w:szCs w:val="22"/>
          <w:lang w:eastAsia="en-US"/>
        </w:rPr>
        <w:t xml:space="preserve"> If the reporting periodicity of RVQoE is not explicitly indicated in the RVQoE configuration, RVQoE reports can be sent together with the legacy QoE reports.</w:t>
      </w:r>
      <w:r w:rsidRPr="00280394">
        <w:rPr>
          <w:rFonts w:asciiTheme="minorHAnsi" w:hAnsiTheme="minorHAnsi" w:cstheme="minorHAnsi"/>
          <w:b w:val="0"/>
          <w:bCs w:val="0"/>
          <w:sz w:val="22"/>
          <w:szCs w:val="22"/>
          <w:lang w:eastAsia="en-US"/>
        </w:rPr>
        <w:t xml:space="preserve"> </w:t>
      </w:r>
    </w:p>
    <w:p w14:paraId="53360B72" w14:textId="77777777" w:rsidR="00EF1935" w:rsidRPr="00EF1935" w:rsidRDefault="00EF1935" w:rsidP="00EF1935"/>
    <w:p w14:paraId="2E44B198" w14:textId="77777777" w:rsidR="00C12432" w:rsidRPr="008D2FF2" w:rsidRDefault="00C12432" w:rsidP="00D56DDC">
      <w:pPr>
        <w:pStyle w:val="Heading1"/>
        <w:spacing w:before="120" w:after="0"/>
        <w:rPr>
          <w:rFonts w:asciiTheme="minorHAnsi" w:hAnsiTheme="minorHAnsi" w:cstheme="minorHAnsi"/>
          <w:sz w:val="40"/>
        </w:rPr>
      </w:pPr>
      <w:r w:rsidRPr="008D2FF2">
        <w:rPr>
          <w:rFonts w:asciiTheme="minorHAnsi" w:hAnsiTheme="minorHAnsi" w:cstheme="minorHAnsi"/>
          <w:sz w:val="40"/>
        </w:rPr>
        <w:lastRenderedPageBreak/>
        <w:t>Conclusion</w:t>
      </w:r>
    </w:p>
    <w:p w14:paraId="7C2BEDBD" w14:textId="39E99645" w:rsidR="00C12432" w:rsidRPr="00460DA0" w:rsidRDefault="00EF1935" w:rsidP="00D56DDC">
      <w:pPr>
        <w:pStyle w:val="Observation"/>
        <w:numPr>
          <w:ilvl w:val="0"/>
          <w:numId w:val="0"/>
        </w:numPr>
        <w:spacing w:before="120" w:after="0"/>
        <w:jc w:val="left"/>
        <w:rPr>
          <w:rFonts w:asciiTheme="minorHAnsi" w:hAnsiTheme="minorHAnsi" w:cstheme="minorHAnsi"/>
          <w:b w:val="0"/>
          <w:bCs w:val="0"/>
          <w:sz w:val="22"/>
          <w:szCs w:val="22"/>
          <w:lang w:eastAsia="en-US"/>
        </w:rPr>
      </w:pPr>
      <w:r>
        <w:rPr>
          <w:rFonts w:asciiTheme="minorHAnsi" w:eastAsia="SimSun" w:hAnsiTheme="minorHAnsi" w:cstheme="minorHAnsi"/>
          <w:b w:val="0"/>
          <w:bCs w:val="0"/>
          <w:sz w:val="22"/>
          <w:szCs w:val="22"/>
        </w:rPr>
        <w:t>In</w:t>
      </w:r>
      <w:r w:rsidR="00C12432" w:rsidRPr="00460DA0">
        <w:rPr>
          <w:rFonts w:asciiTheme="minorHAnsi" w:eastAsia="SimSun" w:hAnsiTheme="minorHAnsi" w:cstheme="minorHAnsi"/>
          <w:b w:val="0"/>
          <w:bCs w:val="0"/>
          <w:sz w:val="22"/>
          <w:szCs w:val="22"/>
        </w:rPr>
        <w:t xml:space="preserve"> this paper</w:t>
      </w:r>
      <w:r>
        <w:rPr>
          <w:rFonts w:asciiTheme="minorHAnsi" w:eastAsia="SimSun" w:hAnsiTheme="minorHAnsi" w:cstheme="minorHAnsi"/>
          <w:b w:val="0"/>
          <w:bCs w:val="0"/>
          <w:sz w:val="22"/>
          <w:szCs w:val="22"/>
        </w:rPr>
        <w:t>,</w:t>
      </w:r>
      <w:r w:rsidR="00C12432" w:rsidRPr="00460DA0">
        <w:rPr>
          <w:rFonts w:asciiTheme="minorHAnsi" w:eastAsia="SimSun" w:hAnsiTheme="minorHAnsi" w:cstheme="minorHAnsi"/>
          <w:b w:val="0"/>
          <w:bCs w:val="0"/>
          <w:sz w:val="22"/>
          <w:szCs w:val="22"/>
        </w:rPr>
        <w:t xml:space="preserve"> the following is</w:t>
      </w:r>
      <w:r w:rsidR="00F87027">
        <w:rPr>
          <w:rFonts w:asciiTheme="minorHAnsi" w:eastAsia="SimSun" w:hAnsiTheme="minorHAnsi" w:cstheme="minorHAnsi"/>
          <w:b w:val="0"/>
          <w:bCs w:val="0"/>
          <w:sz w:val="22"/>
          <w:szCs w:val="22"/>
        </w:rPr>
        <w:t xml:space="preserve"> observed and</w:t>
      </w:r>
      <w:r w:rsidR="00B96664">
        <w:rPr>
          <w:rFonts w:asciiTheme="minorHAnsi" w:eastAsia="SimSun" w:hAnsiTheme="minorHAnsi" w:cstheme="minorHAnsi"/>
          <w:b w:val="0"/>
          <w:bCs w:val="0"/>
          <w:sz w:val="22"/>
          <w:szCs w:val="22"/>
        </w:rPr>
        <w:t xml:space="preserve"> </w:t>
      </w:r>
      <w:r w:rsidR="00C12432" w:rsidRPr="00460DA0">
        <w:rPr>
          <w:rFonts w:asciiTheme="minorHAnsi" w:eastAsia="SimSun" w:hAnsiTheme="minorHAnsi" w:cstheme="minorHAnsi"/>
          <w:b w:val="0"/>
          <w:bCs w:val="0"/>
          <w:sz w:val="22"/>
          <w:szCs w:val="22"/>
        </w:rPr>
        <w:t>proposed:</w:t>
      </w:r>
    </w:p>
    <w:p w14:paraId="2F383C4C" w14:textId="77777777" w:rsidR="002E55F0" w:rsidRPr="00452960" w:rsidRDefault="002E55F0" w:rsidP="002E55F0">
      <w:pPr>
        <w:spacing w:before="120" w:after="0"/>
        <w:jc w:val="left"/>
        <w:rPr>
          <w:rFonts w:asciiTheme="minorHAnsi" w:hAnsiTheme="minorHAnsi" w:cstheme="minorHAnsi"/>
          <w:b/>
          <w:bCs/>
          <w:sz w:val="22"/>
          <w:szCs w:val="22"/>
        </w:rPr>
      </w:pPr>
      <w:r w:rsidRPr="00452960">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452960">
        <w:rPr>
          <w:rFonts w:asciiTheme="minorHAnsi" w:hAnsiTheme="minorHAnsi" w:cstheme="minorHAnsi"/>
          <w:b/>
          <w:bCs/>
          <w:sz w:val="22"/>
          <w:szCs w:val="22"/>
        </w:rPr>
        <w:t>: Some of the key use cases of RVQoE cannot be enabled if RVQoE uses the same reporting periodicity as legacy QoE.</w:t>
      </w:r>
    </w:p>
    <w:p w14:paraId="66989C04" w14:textId="77777777" w:rsidR="002E55F0" w:rsidRPr="008D2FF2" w:rsidRDefault="002E55F0" w:rsidP="002E55F0">
      <w:pPr>
        <w:spacing w:before="120" w:after="0"/>
        <w:jc w:val="left"/>
        <w:rPr>
          <w:rFonts w:asciiTheme="minorHAnsi" w:hAnsiTheme="minorHAnsi" w:cstheme="minorHAnsi"/>
          <w:sz w:val="22"/>
          <w:szCs w:val="22"/>
        </w:rPr>
      </w:pPr>
      <w:r>
        <w:rPr>
          <w:rFonts w:asciiTheme="minorHAnsi" w:hAnsiTheme="minorHAnsi" w:cstheme="minorHAnsi"/>
          <w:b/>
          <w:bCs/>
          <w:sz w:val="22"/>
          <w:szCs w:val="22"/>
          <w:lang w:val="en-US" w:eastAsia="en-US"/>
        </w:rPr>
        <w:t>Observation</w:t>
      </w:r>
      <w:r w:rsidRPr="007641F1">
        <w:rPr>
          <w:rFonts w:asciiTheme="minorHAnsi" w:hAnsiTheme="minorHAnsi" w:cstheme="minorHAnsi"/>
          <w:b/>
          <w:bCs/>
          <w:sz w:val="22"/>
          <w:szCs w:val="22"/>
          <w:lang w:val="en-US" w:eastAsia="en-US"/>
        </w:rPr>
        <w:t xml:space="preserve"> </w:t>
      </w:r>
      <w:r>
        <w:rPr>
          <w:rFonts w:asciiTheme="minorHAnsi" w:hAnsiTheme="minorHAnsi" w:cstheme="minorHAnsi"/>
          <w:b/>
          <w:bCs/>
          <w:sz w:val="22"/>
          <w:szCs w:val="22"/>
          <w:lang w:val="en-US" w:eastAsia="en-US"/>
        </w:rPr>
        <w:t>2</w:t>
      </w:r>
      <w:r w:rsidRPr="007641F1">
        <w:rPr>
          <w:rFonts w:asciiTheme="minorHAnsi" w:hAnsiTheme="minorHAnsi" w:cstheme="minorHAnsi"/>
          <w:b/>
          <w:bCs/>
          <w:sz w:val="22"/>
          <w:szCs w:val="22"/>
          <w:lang w:val="en-US" w:eastAsia="en-US"/>
        </w:rPr>
        <w:t>:</w:t>
      </w:r>
      <w:r>
        <w:rPr>
          <w:rFonts w:asciiTheme="minorHAnsi" w:hAnsiTheme="minorHAnsi" w:cstheme="minorHAnsi"/>
          <w:b/>
          <w:bCs/>
          <w:sz w:val="22"/>
          <w:szCs w:val="22"/>
          <w:lang w:val="en-US" w:eastAsia="en-US"/>
        </w:rPr>
        <w:t xml:space="preserve"> The reporting periodicity of legacy QoE measurements (i.e., </w:t>
      </w:r>
      <w:r w:rsidRPr="008C0A0A">
        <w:rPr>
          <w:rFonts w:asciiTheme="minorHAnsi" w:hAnsiTheme="minorHAnsi" w:cstheme="minorHAnsi"/>
          <w:b/>
          <w:bCs/>
          <w:i/>
          <w:iCs/>
          <w:sz w:val="22"/>
          <w:szCs w:val="22"/>
          <w:lang w:val="en-US" w:eastAsia="en-US"/>
        </w:rPr>
        <w:t xml:space="preserve">n </w:t>
      </w:r>
      <w:r>
        <w:rPr>
          <w:rFonts w:asciiTheme="minorHAnsi" w:hAnsiTheme="minorHAnsi" w:cstheme="minorHAnsi"/>
          <w:b/>
          <w:bCs/>
          <w:sz w:val="22"/>
          <w:szCs w:val="22"/>
          <w:lang w:val="en-US" w:eastAsia="en-US"/>
        </w:rPr>
        <w:t>seconds) is set by the OAM, while the RVQoE configuration is assembled by the RAN.</w:t>
      </w:r>
    </w:p>
    <w:p w14:paraId="106F13D8" w14:textId="77777777" w:rsidR="002E55F0" w:rsidRDefault="002E55F0" w:rsidP="002E55F0">
      <w:pPr>
        <w:spacing w:before="120" w:after="0"/>
        <w:jc w:val="left"/>
        <w:rPr>
          <w:rFonts w:asciiTheme="minorHAnsi" w:hAnsiTheme="minorHAnsi" w:cstheme="minorHAnsi"/>
          <w:sz w:val="22"/>
          <w:szCs w:val="22"/>
          <w:lang w:val="en-US" w:eastAsia="en-US"/>
        </w:rPr>
      </w:pPr>
      <w:r>
        <w:rPr>
          <w:rFonts w:asciiTheme="minorHAnsi" w:hAnsiTheme="minorHAnsi" w:cstheme="minorHAnsi"/>
          <w:b/>
          <w:bCs/>
          <w:sz w:val="22"/>
          <w:szCs w:val="22"/>
          <w:lang w:val="en-US" w:eastAsia="en-US"/>
        </w:rPr>
        <w:t>Observation</w:t>
      </w:r>
      <w:r w:rsidRPr="007641F1">
        <w:rPr>
          <w:rFonts w:asciiTheme="minorHAnsi" w:hAnsiTheme="minorHAnsi" w:cstheme="minorHAnsi"/>
          <w:b/>
          <w:bCs/>
          <w:sz w:val="22"/>
          <w:szCs w:val="22"/>
          <w:lang w:val="en-US" w:eastAsia="en-US"/>
        </w:rPr>
        <w:t xml:space="preserve"> </w:t>
      </w:r>
      <w:r>
        <w:rPr>
          <w:rFonts w:asciiTheme="minorHAnsi" w:hAnsiTheme="minorHAnsi" w:cstheme="minorHAnsi"/>
          <w:b/>
          <w:bCs/>
          <w:sz w:val="22"/>
          <w:szCs w:val="22"/>
          <w:lang w:val="en-US" w:eastAsia="en-US"/>
        </w:rPr>
        <w:t>3</w:t>
      </w:r>
      <w:r w:rsidRPr="007641F1">
        <w:rPr>
          <w:rFonts w:asciiTheme="minorHAnsi" w:hAnsiTheme="minorHAnsi" w:cstheme="minorHAnsi"/>
          <w:b/>
          <w:bCs/>
          <w:sz w:val="22"/>
          <w:szCs w:val="22"/>
          <w:lang w:val="en-US" w:eastAsia="en-US"/>
        </w:rPr>
        <w:t>:</w:t>
      </w:r>
      <w:r>
        <w:rPr>
          <w:rFonts w:asciiTheme="minorHAnsi" w:hAnsiTheme="minorHAnsi" w:cstheme="minorHAnsi"/>
          <w:b/>
          <w:bCs/>
          <w:sz w:val="22"/>
          <w:szCs w:val="22"/>
          <w:lang w:val="en-US" w:eastAsia="en-US"/>
        </w:rPr>
        <w:t xml:space="preserve"> For better alignment, it should be possible to collect and report the MDT and RVQoE measurements at the same periodicity.</w:t>
      </w:r>
    </w:p>
    <w:p w14:paraId="48187FE2" w14:textId="77777777" w:rsidR="00EF1935" w:rsidRPr="00AC3889" w:rsidRDefault="00EF1935" w:rsidP="00EF1935">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Proposal</w:t>
      </w:r>
      <w:r w:rsidRPr="000106B6">
        <w:rPr>
          <w:rFonts w:asciiTheme="minorHAnsi" w:hAnsiTheme="minorHAnsi" w:cstheme="minorHAnsi"/>
          <w:sz w:val="22"/>
          <w:szCs w:val="22"/>
        </w:rPr>
        <w:t xml:space="preserve"> </w:t>
      </w:r>
      <w:r>
        <w:rPr>
          <w:rFonts w:asciiTheme="minorHAnsi" w:hAnsiTheme="minorHAnsi" w:cstheme="minorHAnsi"/>
          <w:sz w:val="22"/>
          <w:szCs w:val="22"/>
        </w:rPr>
        <w:t>1</w:t>
      </w:r>
      <w:r w:rsidRPr="008D2FF2">
        <w:rPr>
          <w:rFonts w:asciiTheme="minorHAnsi" w:hAnsiTheme="minorHAnsi" w:cstheme="minorHAnsi"/>
          <w:sz w:val="22"/>
          <w:szCs w:val="22"/>
        </w:rPr>
        <w:t xml:space="preserve">: The </w:t>
      </w:r>
      <w:r>
        <w:rPr>
          <w:rFonts w:asciiTheme="minorHAnsi" w:hAnsiTheme="minorHAnsi" w:cstheme="minorHAnsi"/>
          <w:sz w:val="22"/>
          <w:szCs w:val="22"/>
        </w:rPr>
        <w:t>RV</w:t>
      </w:r>
      <w:r w:rsidRPr="008D2FF2">
        <w:rPr>
          <w:rFonts w:asciiTheme="minorHAnsi" w:hAnsiTheme="minorHAnsi" w:cstheme="minorHAnsi"/>
          <w:sz w:val="22"/>
          <w:szCs w:val="22"/>
        </w:rPr>
        <w:t xml:space="preserve">QoE reports and legacy QoE reports may be delivered </w:t>
      </w:r>
      <w:r w:rsidRPr="00AC3889">
        <w:rPr>
          <w:rFonts w:asciiTheme="minorHAnsi" w:hAnsiTheme="minorHAnsi" w:cstheme="minorHAnsi"/>
          <w:sz w:val="22"/>
          <w:szCs w:val="22"/>
        </w:rPr>
        <w:t>in separate messages</w:t>
      </w:r>
      <w:r>
        <w:rPr>
          <w:rFonts w:asciiTheme="minorHAnsi" w:hAnsiTheme="minorHAnsi" w:cstheme="minorHAnsi"/>
          <w:sz w:val="22"/>
          <w:szCs w:val="22"/>
        </w:rPr>
        <w:t xml:space="preserve"> and at separate periodicities</w:t>
      </w:r>
      <w:r w:rsidRPr="00AC3889">
        <w:rPr>
          <w:rFonts w:asciiTheme="minorHAnsi" w:hAnsiTheme="minorHAnsi" w:cstheme="minorHAnsi"/>
          <w:sz w:val="22"/>
          <w:szCs w:val="22"/>
        </w:rPr>
        <w:t>.</w:t>
      </w:r>
    </w:p>
    <w:p w14:paraId="6EEED0BF" w14:textId="77777777" w:rsidR="00EF1935" w:rsidRDefault="00EF1935" w:rsidP="00EF1935">
      <w:pPr>
        <w:pStyle w:val="Observation"/>
        <w:numPr>
          <w:ilvl w:val="0"/>
          <w:numId w:val="0"/>
        </w:numPr>
        <w:spacing w:before="120" w:after="0"/>
        <w:jc w:val="left"/>
        <w:rPr>
          <w:rFonts w:asciiTheme="minorHAnsi" w:hAnsiTheme="minorHAnsi" w:cstheme="minorHAnsi"/>
          <w:sz w:val="22"/>
          <w:szCs w:val="22"/>
          <w:lang w:eastAsia="en-US"/>
        </w:rPr>
      </w:pPr>
      <w:r w:rsidRPr="00AC3889">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2</w:t>
      </w:r>
      <w:r w:rsidRPr="00AC3889">
        <w:rPr>
          <w:rFonts w:asciiTheme="minorHAnsi" w:hAnsiTheme="minorHAnsi" w:cstheme="minorHAnsi"/>
          <w:sz w:val="22"/>
          <w:szCs w:val="22"/>
          <w:lang w:eastAsia="en-US"/>
        </w:rPr>
        <w:t>: RAN3 to specify a reporting interval for RVQoE metrics with the following values</w:t>
      </w:r>
      <w:r w:rsidRPr="00AC3889">
        <w:rPr>
          <w:rFonts w:asciiTheme="minorHAnsi" w:hAnsiTheme="minorHAnsi" w:cstheme="minorHAnsi"/>
          <w:sz w:val="22"/>
          <w:szCs w:val="22"/>
        </w:rPr>
        <w:t>: ms120, ms240, ms480, ms640, ms1024, ms2048, ms5120, ms10240, ms20480, ms40960, min1, min6, min12, min30, min60.</w:t>
      </w:r>
    </w:p>
    <w:p w14:paraId="4069201E" w14:textId="77777777" w:rsidR="00EF1935" w:rsidRDefault="00EF1935" w:rsidP="00EF1935">
      <w:pPr>
        <w:pStyle w:val="Observation"/>
        <w:numPr>
          <w:ilvl w:val="0"/>
          <w:numId w:val="0"/>
        </w:numPr>
        <w:spacing w:before="120" w:after="0"/>
        <w:jc w:val="left"/>
        <w:rPr>
          <w:rFonts w:asciiTheme="minorHAnsi" w:hAnsiTheme="minorHAnsi" w:cstheme="minorHAnsi"/>
          <w:b w:val="0"/>
          <w:bCs w:val="0"/>
          <w:sz w:val="22"/>
          <w:szCs w:val="22"/>
          <w:lang w:eastAsia="en-US"/>
        </w:rPr>
      </w:pPr>
      <w:r w:rsidRPr="008D2FF2">
        <w:rPr>
          <w:rFonts w:asciiTheme="minorHAnsi" w:hAnsiTheme="minorHAnsi" w:cstheme="minorHAnsi"/>
          <w:sz w:val="22"/>
          <w:szCs w:val="22"/>
        </w:rPr>
        <w:t>Proposal</w:t>
      </w:r>
      <w:r w:rsidRPr="000106B6">
        <w:rPr>
          <w:rFonts w:asciiTheme="minorHAnsi" w:hAnsiTheme="minorHAnsi" w:cstheme="minorHAnsi"/>
          <w:sz w:val="22"/>
          <w:szCs w:val="22"/>
        </w:rPr>
        <w:t xml:space="preserve"> </w:t>
      </w:r>
      <w:r>
        <w:rPr>
          <w:rFonts w:asciiTheme="minorHAnsi" w:hAnsiTheme="minorHAnsi" w:cstheme="minorHAnsi"/>
          <w:sz w:val="22"/>
          <w:szCs w:val="22"/>
        </w:rPr>
        <w:t>3</w:t>
      </w:r>
      <w:r w:rsidRPr="00180F34">
        <w:rPr>
          <w:rFonts w:asciiTheme="minorHAnsi" w:hAnsiTheme="minorHAnsi" w:cstheme="minorHAnsi"/>
          <w:sz w:val="22"/>
          <w:szCs w:val="22"/>
        </w:rPr>
        <w:t>:</w:t>
      </w:r>
      <w:r w:rsidRPr="00180F34">
        <w:rPr>
          <w:rFonts w:asciiTheme="minorHAnsi" w:hAnsiTheme="minorHAnsi" w:cstheme="minorHAnsi"/>
          <w:sz w:val="22"/>
          <w:szCs w:val="22"/>
          <w:lang w:eastAsia="en-US"/>
        </w:rPr>
        <w:t xml:space="preserve"> If the reporting periodicity of RVQoE is not explicitly indicated in the RVQoE configuration, RVQoE reports can be sent together with the legacy QoE reports.</w:t>
      </w:r>
      <w:r w:rsidRPr="00280394">
        <w:rPr>
          <w:rFonts w:asciiTheme="minorHAnsi" w:hAnsiTheme="minorHAnsi" w:cstheme="minorHAnsi"/>
          <w:b w:val="0"/>
          <w:bCs w:val="0"/>
          <w:sz w:val="22"/>
          <w:szCs w:val="22"/>
          <w:lang w:eastAsia="en-US"/>
        </w:rPr>
        <w:t xml:space="preserve"> </w:t>
      </w:r>
    </w:p>
    <w:p w14:paraId="4001B07E" w14:textId="77777777" w:rsidR="00E066CB" w:rsidRDefault="00E066CB" w:rsidP="00D56DDC">
      <w:pPr>
        <w:pStyle w:val="Observation"/>
        <w:numPr>
          <w:ilvl w:val="0"/>
          <w:numId w:val="0"/>
        </w:numPr>
        <w:spacing w:before="120" w:after="0"/>
        <w:jc w:val="left"/>
        <w:rPr>
          <w:rFonts w:asciiTheme="minorHAnsi" w:hAnsiTheme="minorHAnsi" w:cstheme="minorHAnsi"/>
          <w:sz w:val="22"/>
          <w:szCs w:val="22"/>
          <w:lang w:eastAsia="en-US"/>
        </w:rPr>
      </w:pPr>
    </w:p>
    <w:p w14:paraId="7B7CBA08" w14:textId="77777777" w:rsidR="00E066CB" w:rsidRDefault="00E066CB" w:rsidP="00D56DDC">
      <w:pPr>
        <w:pStyle w:val="Observation"/>
        <w:numPr>
          <w:ilvl w:val="0"/>
          <w:numId w:val="0"/>
        </w:numPr>
        <w:spacing w:before="120" w:after="0"/>
        <w:jc w:val="left"/>
        <w:rPr>
          <w:rFonts w:asciiTheme="minorHAnsi" w:hAnsiTheme="minorHAnsi" w:cstheme="minorHAnsi"/>
          <w:b w:val="0"/>
          <w:sz w:val="22"/>
          <w:szCs w:val="22"/>
        </w:rPr>
      </w:pPr>
    </w:p>
    <w:sectPr w:rsidR="00E066CB" w:rsidSect="00FA45A5">
      <w:headerReference w:type="even" r:id="rId13"/>
      <w:footerReference w:type="default" r:id="rId14"/>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0B0F1" w14:textId="77777777" w:rsidR="00EE33AA" w:rsidRDefault="00EE33AA">
      <w:pPr>
        <w:spacing w:after="0"/>
      </w:pPr>
      <w:r>
        <w:separator/>
      </w:r>
    </w:p>
  </w:endnote>
  <w:endnote w:type="continuationSeparator" w:id="0">
    <w:p w14:paraId="3A706B59" w14:textId="77777777" w:rsidR="00EE33AA" w:rsidRDefault="00EE33AA">
      <w:pPr>
        <w:spacing w:after="0"/>
      </w:pPr>
      <w:r>
        <w:continuationSeparator/>
      </w:r>
    </w:p>
  </w:endnote>
  <w:endnote w:type="continuationNotice" w:id="1">
    <w:p w14:paraId="0D5E7822" w14:textId="77777777" w:rsidR="00EE33AA" w:rsidRDefault="00EE3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E7613" w14:textId="77777777" w:rsidR="00EE33AA" w:rsidRDefault="00EE33AA">
      <w:pPr>
        <w:spacing w:after="0"/>
      </w:pPr>
      <w:r>
        <w:separator/>
      </w:r>
    </w:p>
  </w:footnote>
  <w:footnote w:type="continuationSeparator" w:id="0">
    <w:p w14:paraId="34E0C74C" w14:textId="77777777" w:rsidR="00EE33AA" w:rsidRDefault="00EE33AA">
      <w:pPr>
        <w:spacing w:after="0"/>
      </w:pPr>
      <w:r>
        <w:continuationSeparator/>
      </w:r>
    </w:p>
  </w:footnote>
  <w:footnote w:type="continuationNotice" w:id="1">
    <w:p w14:paraId="7BA97DB9" w14:textId="77777777" w:rsidR="00EE33AA" w:rsidRDefault="00EE3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98"/>
        </w:tabs>
        <w:ind w:left="1098" w:hanging="1008"/>
      </w:pPr>
      <w:rPr>
        <w:rFonts w:hint="default"/>
      </w:rPr>
    </w:lvl>
    <w:lvl w:ilvl="5">
      <w:start w:val="1"/>
      <w:numFmt w:val="decimal"/>
      <w:pStyle w:val="Heading6"/>
      <w:lvlText w:val="%1.%2.%3.%4.%5.%6"/>
      <w:lvlJc w:val="left"/>
      <w:pPr>
        <w:tabs>
          <w:tab w:val="num" w:pos="1242"/>
        </w:tabs>
        <w:ind w:left="1242" w:hanging="1152"/>
      </w:pPr>
      <w:rPr>
        <w:rFonts w:hint="default"/>
      </w:rPr>
    </w:lvl>
    <w:lvl w:ilvl="6">
      <w:start w:val="1"/>
      <w:numFmt w:val="decimal"/>
      <w:pStyle w:val="Heading7"/>
      <w:lvlText w:val="%1.%2.%3.%4.%5.%6.%7"/>
      <w:lvlJc w:val="left"/>
      <w:pPr>
        <w:tabs>
          <w:tab w:val="num" w:pos="1386"/>
        </w:tabs>
        <w:ind w:left="1386" w:hanging="1296"/>
      </w:pPr>
      <w:rPr>
        <w:rFonts w:hint="default"/>
      </w:rPr>
    </w:lvl>
    <w:lvl w:ilvl="7">
      <w:start w:val="1"/>
      <w:numFmt w:val="decimal"/>
      <w:pStyle w:val="Heading8"/>
      <w:lvlText w:val="%1.%2.%3.%4.%5.%6.%7.%8"/>
      <w:lvlJc w:val="left"/>
      <w:pPr>
        <w:tabs>
          <w:tab w:val="num" w:pos="1530"/>
        </w:tabs>
        <w:ind w:left="1530" w:hanging="1440"/>
      </w:pPr>
      <w:rPr>
        <w:rFonts w:hint="default"/>
      </w:rPr>
    </w:lvl>
    <w:lvl w:ilvl="8">
      <w:start w:val="1"/>
      <w:numFmt w:val="decimal"/>
      <w:pStyle w:val="Heading9"/>
      <w:lvlText w:val="%1.%2.%3.%4.%5.%6.%7.%8.%9"/>
      <w:lvlJc w:val="left"/>
      <w:pPr>
        <w:tabs>
          <w:tab w:val="num" w:pos="1674"/>
        </w:tabs>
        <w:ind w:left="1674" w:hanging="1584"/>
      </w:pPr>
      <w:rPr>
        <w:rFonts w:hint="default"/>
      </w:rPr>
    </w:lvl>
  </w:abstractNum>
  <w:abstractNum w:abstractNumId="1" w15:restartNumberingAfterBreak="0">
    <w:nsid w:val="02785442"/>
    <w:multiLevelType w:val="hybridMultilevel"/>
    <w:tmpl w:val="523A0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C00624B"/>
    <w:multiLevelType w:val="hybridMultilevel"/>
    <w:tmpl w:val="45820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741127"/>
    <w:multiLevelType w:val="hybridMultilevel"/>
    <w:tmpl w:val="8DD21F54"/>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7"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0E0920"/>
    <w:multiLevelType w:val="hybridMultilevel"/>
    <w:tmpl w:val="78C8F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13C5308"/>
    <w:multiLevelType w:val="hybridMultilevel"/>
    <w:tmpl w:val="526ED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B43105"/>
    <w:multiLevelType w:val="hybridMultilevel"/>
    <w:tmpl w:val="7AA0E8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C825DD"/>
    <w:multiLevelType w:val="hybridMultilevel"/>
    <w:tmpl w:val="AA68E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12"/>
  </w:num>
  <w:num w:numId="5">
    <w:abstractNumId w:val="17"/>
  </w:num>
  <w:num w:numId="6">
    <w:abstractNumId w:val="10"/>
  </w:num>
  <w:num w:numId="7">
    <w:abstractNumId w:val="9"/>
  </w:num>
  <w:num w:numId="8">
    <w:abstractNumId w:val="4"/>
  </w:num>
  <w:num w:numId="9">
    <w:abstractNumId w:val="7"/>
  </w:num>
  <w:num w:numId="10">
    <w:abstractNumId w:val="6"/>
  </w:num>
  <w:num w:numId="11">
    <w:abstractNumId w:val="5"/>
  </w:num>
  <w:num w:numId="12">
    <w:abstractNumId w:val="2"/>
  </w:num>
  <w:num w:numId="13">
    <w:abstractNumId w:val="14"/>
  </w:num>
  <w:num w:numId="14">
    <w:abstractNumId w:val="1"/>
  </w:num>
  <w:num w:numId="15">
    <w:abstractNumId w:val="16"/>
  </w:num>
  <w:num w:numId="16">
    <w:abstractNumId w:val="3"/>
  </w:num>
  <w:num w:numId="17">
    <w:abstractNumId w:val="15"/>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E1A"/>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DB9"/>
    <w:rsid w:val="000D527A"/>
    <w:rsid w:val="000D58CE"/>
    <w:rsid w:val="000D61C8"/>
    <w:rsid w:val="000D6382"/>
    <w:rsid w:val="000D6A5C"/>
    <w:rsid w:val="000D6F9D"/>
    <w:rsid w:val="000D7206"/>
    <w:rsid w:val="000D7348"/>
    <w:rsid w:val="000D7E14"/>
    <w:rsid w:val="000E099E"/>
    <w:rsid w:val="000E1C4B"/>
    <w:rsid w:val="000E2334"/>
    <w:rsid w:val="000E2F78"/>
    <w:rsid w:val="000E32A8"/>
    <w:rsid w:val="000E33B7"/>
    <w:rsid w:val="000E3478"/>
    <w:rsid w:val="000E3F1B"/>
    <w:rsid w:val="000E4C9A"/>
    <w:rsid w:val="000E4F6F"/>
    <w:rsid w:val="000E505D"/>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F87"/>
    <w:rsid w:val="00106BC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44C"/>
    <w:rsid w:val="0013557A"/>
    <w:rsid w:val="001359C7"/>
    <w:rsid w:val="00135CB1"/>
    <w:rsid w:val="00135D8B"/>
    <w:rsid w:val="0013616F"/>
    <w:rsid w:val="001365B6"/>
    <w:rsid w:val="00136975"/>
    <w:rsid w:val="00136E00"/>
    <w:rsid w:val="00137318"/>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E5F"/>
    <w:rsid w:val="00156F3B"/>
    <w:rsid w:val="001573F7"/>
    <w:rsid w:val="0015797F"/>
    <w:rsid w:val="00157F67"/>
    <w:rsid w:val="00160430"/>
    <w:rsid w:val="001608B6"/>
    <w:rsid w:val="00161843"/>
    <w:rsid w:val="00161A5E"/>
    <w:rsid w:val="00162261"/>
    <w:rsid w:val="001622A7"/>
    <w:rsid w:val="00162B8A"/>
    <w:rsid w:val="0016449E"/>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D2F"/>
    <w:rsid w:val="001A00B2"/>
    <w:rsid w:val="001A0488"/>
    <w:rsid w:val="001A05FE"/>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E57"/>
    <w:rsid w:val="001E4D28"/>
    <w:rsid w:val="001E50A0"/>
    <w:rsid w:val="001E557D"/>
    <w:rsid w:val="001E563A"/>
    <w:rsid w:val="001E5864"/>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1090"/>
    <w:rsid w:val="002010E2"/>
    <w:rsid w:val="00201908"/>
    <w:rsid w:val="00201C18"/>
    <w:rsid w:val="00202288"/>
    <w:rsid w:val="00202DA6"/>
    <w:rsid w:val="0020349A"/>
    <w:rsid w:val="00204F85"/>
    <w:rsid w:val="002054BD"/>
    <w:rsid w:val="00205C4C"/>
    <w:rsid w:val="002074D4"/>
    <w:rsid w:val="00207734"/>
    <w:rsid w:val="00207A51"/>
    <w:rsid w:val="00210172"/>
    <w:rsid w:val="00210438"/>
    <w:rsid w:val="002104C5"/>
    <w:rsid w:val="00210D78"/>
    <w:rsid w:val="002119FE"/>
    <w:rsid w:val="00211E6B"/>
    <w:rsid w:val="00211FF3"/>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21D9"/>
    <w:rsid w:val="00252E2A"/>
    <w:rsid w:val="00252F85"/>
    <w:rsid w:val="00253082"/>
    <w:rsid w:val="00253426"/>
    <w:rsid w:val="00253BF0"/>
    <w:rsid w:val="00254565"/>
    <w:rsid w:val="00254AC0"/>
    <w:rsid w:val="0025525C"/>
    <w:rsid w:val="002556B9"/>
    <w:rsid w:val="002558A2"/>
    <w:rsid w:val="00256877"/>
    <w:rsid w:val="00256A98"/>
    <w:rsid w:val="00256E17"/>
    <w:rsid w:val="00257344"/>
    <w:rsid w:val="00260836"/>
    <w:rsid w:val="00260CD4"/>
    <w:rsid w:val="002614EE"/>
    <w:rsid w:val="00261598"/>
    <w:rsid w:val="00263A6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2C8"/>
    <w:rsid w:val="00293743"/>
    <w:rsid w:val="00293931"/>
    <w:rsid w:val="00293D4F"/>
    <w:rsid w:val="002945C7"/>
    <w:rsid w:val="002947EC"/>
    <w:rsid w:val="00294F12"/>
    <w:rsid w:val="00295249"/>
    <w:rsid w:val="0029543C"/>
    <w:rsid w:val="00295CB4"/>
    <w:rsid w:val="002960CF"/>
    <w:rsid w:val="002966B8"/>
    <w:rsid w:val="00297E53"/>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5F0"/>
    <w:rsid w:val="002E5677"/>
    <w:rsid w:val="002E5F4C"/>
    <w:rsid w:val="002E6DA3"/>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22C4"/>
    <w:rsid w:val="0032497D"/>
    <w:rsid w:val="00324CA1"/>
    <w:rsid w:val="00325ED6"/>
    <w:rsid w:val="00326A7A"/>
    <w:rsid w:val="00326B6A"/>
    <w:rsid w:val="00326E88"/>
    <w:rsid w:val="00327743"/>
    <w:rsid w:val="003277FD"/>
    <w:rsid w:val="00327A94"/>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EDA"/>
    <w:rsid w:val="00335EE9"/>
    <w:rsid w:val="003369ED"/>
    <w:rsid w:val="00336C7F"/>
    <w:rsid w:val="00336E0F"/>
    <w:rsid w:val="0033773F"/>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10B1"/>
    <w:rsid w:val="0036188A"/>
    <w:rsid w:val="00361A30"/>
    <w:rsid w:val="00361ED5"/>
    <w:rsid w:val="0036208F"/>
    <w:rsid w:val="003629D9"/>
    <w:rsid w:val="00363E4B"/>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4E91"/>
    <w:rsid w:val="003751AE"/>
    <w:rsid w:val="003757C0"/>
    <w:rsid w:val="00376886"/>
    <w:rsid w:val="00376A4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A13"/>
    <w:rsid w:val="00397B6B"/>
    <w:rsid w:val="00397C7A"/>
    <w:rsid w:val="003A00A3"/>
    <w:rsid w:val="003A00D5"/>
    <w:rsid w:val="003A0189"/>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6100"/>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4C7B"/>
    <w:rsid w:val="003D66F6"/>
    <w:rsid w:val="003D6987"/>
    <w:rsid w:val="003D6CE9"/>
    <w:rsid w:val="003D7171"/>
    <w:rsid w:val="003D72DA"/>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DE"/>
    <w:rsid w:val="00406EE7"/>
    <w:rsid w:val="00406F44"/>
    <w:rsid w:val="00407CC7"/>
    <w:rsid w:val="004103E4"/>
    <w:rsid w:val="004114EE"/>
    <w:rsid w:val="00412357"/>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94"/>
    <w:rsid w:val="00437D78"/>
    <w:rsid w:val="004408D1"/>
    <w:rsid w:val="0044099A"/>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B28"/>
    <w:rsid w:val="00465737"/>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4F25"/>
    <w:rsid w:val="00525205"/>
    <w:rsid w:val="00525233"/>
    <w:rsid w:val="00525276"/>
    <w:rsid w:val="005257EE"/>
    <w:rsid w:val="00525B5B"/>
    <w:rsid w:val="00525D51"/>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77B9D"/>
    <w:rsid w:val="00581E73"/>
    <w:rsid w:val="00582184"/>
    <w:rsid w:val="0058238E"/>
    <w:rsid w:val="0058240A"/>
    <w:rsid w:val="005827D0"/>
    <w:rsid w:val="00582BAF"/>
    <w:rsid w:val="00582DF6"/>
    <w:rsid w:val="005830E6"/>
    <w:rsid w:val="0058380C"/>
    <w:rsid w:val="0058401A"/>
    <w:rsid w:val="0058442B"/>
    <w:rsid w:val="005847C8"/>
    <w:rsid w:val="00584B75"/>
    <w:rsid w:val="00585554"/>
    <w:rsid w:val="00585810"/>
    <w:rsid w:val="00585829"/>
    <w:rsid w:val="00585873"/>
    <w:rsid w:val="00585D94"/>
    <w:rsid w:val="00585FFA"/>
    <w:rsid w:val="005866A6"/>
    <w:rsid w:val="00586FB0"/>
    <w:rsid w:val="00587168"/>
    <w:rsid w:val="00587C51"/>
    <w:rsid w:val="00587E79"/>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826"/>
    <w:rsid w:val="005C39D8"/>
    <w:rsid w:val="005C3C06"/>
    <w:rsid w:val="005C3EEA"/>
    <w:rsid w:val="005C4895"/>
    <w:rsid w:val="005C5090"/>
    <w:rsid w:val="005C56D2"/>
    <w:rsid w:val="005C5866"/>
    <w:rsid w:val="005C6273"/>
    <w:rsid w:val="005C65EE"/>
    <w:rsid w:val="005C67B7"/>
    <w:rsid w:val="005C6A43"/>
    <w:rsid w:val="005D009A"/>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B41"/>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2BC"/>
    <w:rsid w:val="00665DA3"/>
    <w:rsid w:val="00666D21"/>
    <w:rsid w:val="00666F5F"/>
    <w:rsid w:val="00666FFE"/>
    <w:rsid w:val="00667691"/>
    <w:rsid w:val="0066778D"/>
    <w:rsid w:val="00667F76"/>
    <w:rsid w:val="006702A2"/>
    <w:rsid w:val="006702D7"/>
    <w:rsid w:val="006706FB"/>
    <w:rsid w:val="00670B43"/>
    <w:rsid w:val="00670EBF"/>
    <w:rsid w:val="00672C38"/>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341"/>
    <w:rsid w:val="006F2A39"/>
    <w:rsid w:val="006F4078"/>
    <w:rsid w:val="006F40A8"/>
    <w:rsid w:val="006F4247"/>
    <w:rsid w:val="006F48EA"/>
    <w:rsid w:val="006F4985"/>
    <w:rsid w:val="006F4B6B"/>
    <w:rsid w:val="006F4DAD"/>
    <w:rsid w:val="006F5569"/>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6E6"/>
    <w:rsid w:val="007356FD"/>
    <w:rsid w:val="00735A67"/>
    <w:rsid w:val="00735AC8"/>
    <w:rsid w:val="00735B92"/>
    <w:rsid w:val="00735BDB"/>
    <w:rsid w:val="007362C8"/>
    <w:rsid w:val="00736508"/>
    <w:rsid w:val="00736B01"/>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9138C"/>
    <w:rsid w:val="00791B99"/>
    <w:rsid w:val="00791E15"/>
    <w:rsid w:val="007927C0"/>
    <w:rsid w:val="00792DF7"/>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E19"/>
    <w:rsid w:val="007A66B7"/>
    <w:rsid w:val="007A6A80"/>
    <w:rsid w:val="007A6E86"/>
    <w:rsid w:val="007A7894"/>
    <w:rsid w:val="007B0247"/>
    <w:rsid w:val="007B0B31"/>
    <w:rsid w:val="007B1ADA"/>
    <w:rsid w:val="007B1C8C"/>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8B3"/>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9AD"/>
    <w:rsid w:val="00881F1A"/>
    <w:rsid w:val="00881FF5"/>
    <w:rsid w:val="0088255C"/>
    <w:rsid w:val="0088309C"/>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82F"/>
    <w:rsid w:val="008B49FC"/>
    <w:rsid w:val="008B4ACD"/>
    <w:rsid w:val="008B4AD7"/>
    <w:rsid w:val="008B4B41"/>
    <w:rsid w:val="008B680C"/>
    <w:rsid w:val="008B6F1F"/>
    <w:rsid w:val="008B7565"/>
    <w:rsid w:val="008B784C"/>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9A9"/>
    <w:rsid w:val="008E4C0F"/>
    <w:rsid w:val="008E5E96"/>
    <w:rsid w:val="008E608A"/>
    <w:rsid w:val="008E62B1"/>
    <w:rsid w:val="008E756D"/>
    <w:rsid w:val="008E77DE"/>
    <w:rsid w:val="008E7C4D"/>
    <w:rsid w:val="008E7D3C"/>
    <w:rsid w:val="008E7E88"/>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3EB6"/>
    <w:rsid w:val="009146F2"/>
    <w:rsid w:val="0091492C"/>
    <w:rsid w:val="00914DDA"/>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923"/>
    <w:rsid w:val="00931996"/>
    <w:rsid w:val="0093275F"/>
    <w:rsid w:val="009327F3"/>
    <w:rsid w:val="00932803"/>
    <w:rsid w:val="0093288F"/>
    <w:rsid w:val="00932E2E"/>
    <w:rsid w:val="0093342D"/>
    <w:rsid w:val="009336BC"/>
    <w:rsid w:val="00933918"/>
    <w:rsid w:val="00933C44"/>
    <w:rsid w:val="00933D26"/>
    <w:rsid w:val="00934C95"/>
    <w:rsid w:val="00934F6F"/>
    <w:rsid w:val="00935622"/>
    <w:rsid w:val="0093573F"/>
    <w:rsid w:val="00935909"/>
    <w:rsid w:val="00936148"/>
    <w:rsid w:val="0093630B"/>
    <w:rsid w:val="009364B4"/>
    <w:rsid w:val="00936780"/>
    <w:rsid w:val="00936A55"/>
    <w:rsid w:val="00936DA2"/>
    <w:rsid w:val="00937151"/>
    <w:rsid w:val="0093773C"/>
    <w:rsid w:val="00937BCA"/>
    <w:rsid w:val="00937DA2"/>
    <w:rsid w:val="00940452"/>
    <w:rsid w:val="009408CC"/>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D8"/>
    <w:rsid w:val="00977292"/>
    <w:rsid w:val="00977985"/>
    <w:rsid w:val="00977C4A"/>
    <w:rsid w:val="009807FD"/>
    <w:rsid w:val="009808E3"/>
    <w:rsid w:val="00980F0A"/>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90E"/>
    <w:rsid w:val="009879B0"/>
    <w:rsid w:val="00987D3E"/>
    <w:rsid w:val="00987EAE"/>
    <w:rsid w:val="009900A9"/>
    <w:rsid w:val="0099020F"/>
    <w:rsid w:val="009905CA"/>
    <w:rsid w:val="0099087B"/>
    <w:rsid w:val="00990A00"/>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589"/>
    <w:rsid w:val="009B79FB"/>
    <w:rsid w:val="009B7E81"/>
    <w:rsid w:val="009B7F77"/>
    <w:rsid w:val="009C00B8"/>
    <w:rsid w:val="009C0C50"/>
    <w:rsid w:val="009C0D96"/>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416B"/>
    <w:rsid w:val="009F4A1E"/>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7E2"/>
    <w:rsid w:val="00A17B12"/>
    <w:rsid w:val="00A17BFB"/>
    <w:rsid w:val="00A20561"/>
    <w:rsid w:val="00A2154A"/>
    <w:rsid w:val="00A21EC1"/>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45D"/>
    <w:rsid w:val="00A51826"/>
    <w:rsid w:val="00A51B7F"/>
    <w:rsid w:val="00A51EA3"/>
    <w:rsid w:val="00A52582"/>
    <w:rsid w:val="00A52DAC"/>
    <w:rsid w:val="00A53015"/>
    <w:rsid w:val="00A5338F"/>
    <w:rsid w:val="00A5359F"/>
    <w:rsid w:val="00A535E1"/>
    <w:rsid w:val="00A537EE"/>
    <w:rsid w:val="00A53B97"/>
    <w:rsid w:val="00A5451C"/>
    <w:rsid w:val="00A55546"/>
    <w:rsid w:val="00A55CF6"/>
    <w:rsid w:val="00A561FB"/>
    <w:rsid w:val="00A563DC"/>
    <w:rsid w:val="00A564B2"/>
    <w:rsid w:val="00A567D8"/>
    <w:rsid w:val="00A56A20"/>
    <w:rsid w:val="00A56C37"/>
    <w:rsid w:val="00A572A5"/>
    <w:rsid w:val="00A574D0"/>
    <w:rsid w:val="00A57B91"/>
    <w:rsid w:val="00A6036A"/>
    <w:rsid w:val="00A60470"/>
    <w:rsid w:val="00A608CC"/>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B80"/>
    <w:rsid w:val="00AC0DF0"/>
    <w:rsid w:val="00AC1033"/>
    <w:rsid w:val="00AC140D"/>
    <w:rsid w:val="00AC1853"/>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600B"/>
    <w:rsid w:val="00B1634B"/>
    <w:rsid w:val="00B16E3C"/>
    <w:rsid w:val="00B17101"/>
    <w:rsid w:val="00B179C1"/>
    <w:rsid w:val="00B20705"/>
    <w:rsid w:val="00B21F44"/>
    <w:rsid w:val="00B22047"/>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B4D"/>
    <w:rsid w:val="00B40B5D"/>
    <w:rsid w:val="00B418DB"/>
    <w:rsid w:val="00B41B41"/>
    <w:rsid w:val="00B42065"/>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92E"/>
    <w:rsid w:val="00BA5A99"/>
    <w:rsid w:val="00BA5D64"/>
    <w:rsid w:val="00BA68C4"/>
    <w:rsid w:val="00BA6B3D"/>
    <w:rsid w:val="00BA77CE"/>
    <w:rsid w:val="00BA7E9E"/>
    <w:rsid w:val="00BB0398"/>
    <w:rsid w:val="00BB050F"/>
    <w:rsid w:val="00BB1272"/>
    <w:rsid w:val="00BB20B6"/>
    <w:rsid w:val="00BB5355"/>
    <w:rsid w:val="00BB598A"/>
    <w:rsid w:val="00BB5E0D"/>
    <w:rsid w:val="00BB5E51"/>
    <w:rsid w:val="00BB5E5F"/>
    <w:rsid w:val="00BB644C"/>
    <w:rsid w:val="00BB6738"/>
    <w:rsid w:val="00BB759A"/>
    <w:rsid w:val="00BC07D9"/>
    <w:rsid w:val="00BC1C52"/>
    <w:rsid w:val="00BC2E9C"/>
    <w:rsid w:val="00BC3857"/>
    <w:rsid w:val="00BC3B86"/>
    <w:rsid w:val="00BC3C25"/>
    <w:rsid w:val="00BC42D9"/>
    <w:rsid w:val="00BC431B"/>
    <w:rsid w:val="00BC4AC6"/>
    <w:rsid w:val="00BC50D9"/>
    <w:rsid w:val="00BC5B93"/>
    <w:rsid w:val="00BC5E4F"/>
    <w:rsid w:val="00BC67EC"/>
    <w:rsid w:val="00BC6A57"/>
    <w:rsid w:val="00BC7777"/>
    <w:rsid w:val="00BD0B50"/>
    <w:rsid w:val="00BD284F"/>
    <w:rsid w:val="00BD3043"/>
    <w:rsid w:val="00BD37F7"/>
    <w:rsid w:val="00BD3F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232"/>
    <w:rsid w:val="00C06827"/>
    <w:rsid w:val="00C074B1"/>
    <w:rsid w:val="00C07CA0"/>
    <w:rsid w:val="00C07CBE"/>
    <w:rsid w:val="00C10681"/>
    <w:rsid w:val="00C106C6"/>
    <w:rsid w:val="00C10D30"/>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754C"/>
    <w:rsid w:val="00C17CB6"/>
    <w:rsid w:val="00C20580"/>
    <w:rsid w:val="00C20781"/>
    <w:rsid w:val="00C215B2"/>
    <w:rsid w:val="00C21D18"/>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DCB"/>
    <w:rsid w:val="00C401BF"/>
    <w:rsid w:val="00C41914"/>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87C0E"/>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97A"/>
    <w:rsid w:val="00CB6B68"/>
    <w:rsid w:val="00CB6EB0"/>
    <w:rsid w:val="00CB7464"/>
    <w:rsid w:val="00CC14FD"/>
    <w:rsid w:val="00CC155C"/>
    <w:rsid w:val="00CC1EDB"/>
    <w:rsid w:val="00CC331B"/>
    <w:rsid w:val="00CC4619"/>
    <w:rsid w:val="00CC475E"/>
    <w:rsid w:val="00CC5B26"/>
    <w:rsid w:val="00CC63FA"/>
    <w:rsid w:val="00CC66BE"/>
    <w:rsid w:val="00CC6CEC"/>
    <w:rsid w:val="00CC7225"/>
    <w:rsid w:val="00CC73C7"/>
    <w:rsid w:val="00CC74F2"/>
    <w:rsid w:val="00CC7C67"/>
    <w:rsid w:val="00CD1FC7"/>
    <w:rsid w:val="00CD3175"/>
    <w:rsid w:val="00CD42BE"/>
    <w:rsid w:val="00CD489E"/>
    <w:rsid w:val="00CD4BD3"/>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58C4"/>
    <w:rsid w:val="00CE62B7"/>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44E"/>
    <w:rsid w:val="00D25AE4"/>
    <w:rsid w:val="00D26A54"/>
    <w:rsid w:val="00D27705"/>
    <w:rsid w:val="00D27AC5"/>
    <w:rsid w:val="00D27C67"/>
    <w:rsid w:val="00D30063"/>
    <w:rsid w:val="00D3076E"/>
    <w:rsid w:val="00D30918"/>
    <w:rsid w:val="00D3101F"/>
    <w:rsid w:val="00D3141C"/>
    <w:rsid w:val="00D31F1A"/>
    <w:rsid w:val="00D323A1"/>
    <w:rsid w:val="00D327A4"/>
    <w:rsid w:val="00D32928"/>
    <w:rsid w:val="00D32ECF"/>
    <w:rsid w:val="00D332EB"/>
    <w:rsid w:val="00D34433"/>
    <w:rsid w:val="00D3503F"/>
    <w:rsid w:val="00D354BD"/>
    <w:rsid w:val="00D35D98"/>
    <w:rsid w:val="00D36057"/>
    <w:rsid w:val="00D36876"/>
    <w:rsid w:val="00D37447"/>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DDC"/>
    <w:rsid w:val="00D57487"/>
    <w:rsid w:val="00D576D8"/>
    <w:rsid w:val="00D57712"/>
    <w:rsid w:val="00D57BC0"/>
    <w:rsid w:val="00D57E2F"/>
    <w:rsid w:val="00D60090"/>
    <w:rsid w:val="00D60B89"/>
    <w:rsid w:val="00D60BCA"/>
    <w:rsid w:val="00D60EFA"/>
    <w:rsid w:val="00D61A0D"/>
    <w:rsid w:val="00D6258D"/>
    <w:rsid w:val="00D62682"/>
    <w:rsid w:val="00D62722"/>
    <w:rsid w:val="00D62AC7"/>
    <w:rsid w:val="00D63588"/>
    <w:rsid w:val="00D63698"/>
    <w:rsid w:val="00D63A6E"/>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87"/>
    <w:rsid w:val="00D9509B"/>
    <w:rsid w:val="00D954F5"/>
    <w:rsid w:val="00D9565F"/>
    <w:rsid w:val="00D9581D"/>
    <w:rsid w:val="00D96577"/>
    <w:rsid w:val="00D978BD"/>
    <w:rsid w:val="00D97E0F"/>
    <w:rsid w:val="00DA072B"/>
    <w:rsid w:val="00DA0795"/>
    <w:rsid w:val="00DA0F58"/>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50D9"/>
    <w:rsid w:val="00DB5B1D"/>
    <w:rsid w:val="00DB5D6B"/>
    <w:rsid w:val="00DB5E02"/>
    <w:rsid w:val="00DB5EB1"/>
    <w:rsid w:val="00DB61C1"/>
    <w:rsid w:val="00DB6581"/>
    <w:rsid w:val="00DB6989"/>
    <w:rsid w:val="00DB7866"/>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3B3D"/>
    <w:rsid w:val="00DD3CBA"/>
    <w:rsid w:val="00DD46B4"/>
    <w:rsid w:val="00DD4845"/>
    <w:rsid w:val="00DD4EB9"/>
    <w:rsid w:val="00DD54D5"/>
    <w:rsid w:val="00DD70C8"/>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ADF"/>
    <w:rsid w:val="00E12187"/>
    <w:rsid w:val="00E123AB"/>
    <w:rsid w:val="00E12463"/>
    <w:rsid w:val="00E127DC"/>
    <w:rsid w:val="00E12927"/>
    <w:rsid w:val="00E12CD5"/>
    <w:rsid w:val="00E1383A"/>
    <w:rsid w:val="00E13A2F"/>
    <w:rsid w:val="00E14302"/>
    <w:rsid w:val="00E14B81"/>
    <w:rsid w:val="00E14F3F"/>
    <w:rsid w:val="00E15551"/>
    <w:rsid w:val="00E15C82"/>
    <w:rsid w:val="00E15CED"/>
    <w:rsid w:val="00E15DBB"/>
    <w:rsid w:val="00E15E78"/>
    <w:rsid w:val="00E160E5"/>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09A5"/>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479B"/>
    <w:rsid w:val="00E8495A"/>
    <w:rsid w:val="00E852E9"/>
    <w:rsid w:val="00E8532B"/>
    <w:rsid w:val="00E854F9"/>
    <w:rsid w:val="00E85551"/>
    <w:rsid w:val="00E85647"/>
    <w:rsid w:val="00E85EDC"/>
    <w:rsid w:val="00E867CE"/>
    <w:rsid w:val="00E86CBA"/>
    <w:rsid w:val="00E871FE"/>
    <w:rsid w:val="00E90152"/>
    <w:rsid w:val="00E91287"/>
    <w:rsid w:val="00E917A3"/>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FAA"/>
    <w:rsid w:val="00EA65A1"/>
    <w:rsid w:val="00EA7C3D"/>
    <w:rsid w:val="00EB05DE"/>
    <w:rsid w:val="00EB213E"/>
    <w:rsid w:val="00EB218A"/>
    <w:rsid w:val="00EB2216"/>
    <w:rsid w:val="00EB2ADA"/>
    <w:rsid w:val="00EB2AE7"/>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39E"/>
    <w:rsid w:val="00EF1935"/>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6C3"/>
    <w:rsid w:val="00F22996"/>
    <w:rsid w:val="00F2346B"/>
    <w:rsid w:val="00F23F8D"/>
    <w:rsid w:val="00F241A5"/>
    <w:rsid w:val="00F24F51"/>
    <w:rsid w:val="00F250E1"/>
    <w:rsid w:val="00F259E3"/>
    <w:rsid w:val="00F25D39"/>
    <w:rsid w:val="00F25F66"/>
    <w:rsid w:val="00F262FF"/>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BA"/>
    <w:rsid w:val="00F3351A"/>
    <w:rsid w:val="00F339B0"/>
    <w:rsid w:val="00F33C62"/>
    <w:rsid w:val="00F33F1E"/>
    <w:rsid w:val="00F340D3"/>
    <w:rsid w:val="00F34115"/>
    <w:rsid w:val="00F341F3"/>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A91"/>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93"/>
    <w:rsid w:val="00F66BD5"/>
    <w:rsid w:val="00F67017"/>
    <w:rsid w:val="00F670F3"/>
    <w:rsid w:val="00F672A7"/>
    <w:rsid w:val="00F6731E"/>
    <w:rsid w:val="00F675E1"/>
    <w:rsid w:val="00F7008D"/>
    <w:rsid w:val="00F70093"/>
    <w:rsid w:val="00F70144"/>
    <w:rsid w:val="00F70B7D"/>
    <w:rsid w:val="00F70EF1"/>
    <w:rsid w:val="00F7146C"/>
    <w:rsid w:val="00F729E4"/>
    <w:rsid w:val="00F72D85"/>
    <w:rsid w:val="00F731B9"/>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819"/>
    <w:rsid w:val="00F82B71"/>
    <w:rsid w:val="00F82F9A"/>
    <w:rsid w:val="00F82FA1"/>
    <w:rsid w:val="00F83ABD"/>
    <w:rsid w:val="00F84CEC"/>
    <w:rsid w:val="00F8512E"/>
    <w:rsid w:val="00F85599"/>
    <w:rsid w:val="00F85C1E"/>
    <w:rsid w:val="00F85D02"/>
    <w:rsid w:val="00F865FC"/>
    <w:rsid w:val="00F86604"/>
    <w:rsid w:val="00F86F89"/>
    <w:rsid w:val="00F87027"/>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F81"/>
    <w:rsid w:val="00F943B1"/>
    <w:rsid w:val="00F944FC"/>
    <w:rsid w:val="00F948D5"/>
    <w:rsid w:val="00F950CA"/>
    <w:rsid w:val="00F963CA"/>
    <w:rsid w:val="00F9689E"/>
    <w:rsid w:val="00F96C5E"/>
    <w:rsid w:val="00F971BE"/>
    <w:rsid w:val="00F97452"/>
    <w:rsid w:val="00F97894"/>
    <w:rsid w:val="00F97E62"/>
    <w:rsid w:val="00FA0723"/>
    <w:rsid w:val="00FA0764"/>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E97F5404-9BE1-472F-906F-76C9FBBEB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7395">
      <w:bodyDiv w:val="1"/>
      <w:marLeft w:val="0"/>
      <w:marRight w:val="0"/>
      <w:marTop w:val="0"/>
      <w:marBottom w:val="0"/>
      <w:divBdr>
        <w:top w:val="none" w:sz="0" w:space="0" w:color="auto"/>
        <w:left w:val="none" w:sz="0" w:space="0" w:color="auto"/>
        <w:bottom w:val="none" w:sz="0" w:space="0" w:color="auto"/>
        <w:right w:val="none" w:sz="0" w:space="0" w:color="auto"/>
      </w:divBdr>
    </w:div>
    <w:div w:id="285815609">
      <w:bodyDiv w:val="1"/>
      <w:marLeft w:val="0"/>
      <w:marRight w:val="0"/>
      <w:marTop w:val="0"/>
      <w:marBottom w:val="0"/>
      <w:divBdr>
        <w:top w:val="none" w:sz="0" w:space="0" w:color="auto"/>
        <w:left w:val="none" w:sz="0" w:space="0" w:color="auto"/>
        <w:bottom w:val="none" w:sz="0" w:space="0" w:color="auto"/>
        <w:right w:val="none" w:sz="0" w:space="0" w:color="auto"/>
      </w:divBdr>
    </w:div>
    <w:div w:id="313605156">
      <w:bodyDiv w:val="1"/>
      <w:marLeft w:val="0"/>
      <w:marRight w:val="0"/>
      <w:marTop w:val="0"/>
      <w:marBottom w:val="0"/>
      <w:divBdr>
        <w:top w:val="none" w:sz="0" w:space="0" w:color="auto"/>
        <w:left w:val="none" w:sz="0" w:space="0" w:color="auto"/>
        <w:bottom w:val="none" w:sz="0" w:space="0" w:color="auto"/>
        <w:right w:val="none" w:sz="0" w:space="0" w:color="auto"/>
      </w:divBdr>
    </w:div>
    <w:div w:id="610285245">
      <w:bodyDiv w:val="1"/>
      <w:marLeft w:val="0"/>
      <w:marRight w:val="0"/>
      <w:marTop w:val="0"/>
      <w:marBottom w:val="0"/>
      <w:divBdr>
        <w:top w:val="none" w:sz="0" w:space="0" w:color="auto"/>
        <w:left w:val="none" w:sz="0" w:space="0" w:color="auto"/>
        <w:bottom w:val="none" w:sz="0" w:space="0" w:color="auto"/>
        <w:right w:val="none" w:sz="0" w:space="0" w:color="auto"/>
      </w:divBdr>
    </w:div>
    <w:div w:id="64200951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28281031">
      <w:bodyDiv w:val="1"/>
      <w:marLeft w:val="0"/>
      <w:marRight w:val="0"/>
      <w:marTop w:val="0"/>
      <w:marBottom w:val="0"/>
      <w:divBdr>
        <w:top w:val="none" w:sz="0" w:space="0" w:color="auto"/>
        <w:left w:val="none" w:sz="0" w:space="0" w:color="auto"/>
        <w:bottom w:val="none" w:sz="0" w:space="0" w:color="auto"/>
        <w:right w:val="none" w:sz="0" w:space="0" w:color="auto"/>
      </w:divBdr>
    </w:div>
    <w:div w:id="1641306037">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082686">
      <w:bodyDiv w:val="1"/>
      <w:marLeft w:val="0"/>
      <w:marRight w:val="0"/>
      <w:marTop w:val="0"/>
      <w:marBottom w:val="0"/>
      <w:divBdr>
        <w:top w:val="none" w:sz="0" w:space="0" w:color="auto"/>
        <w:left w:val="none" w:sz="0" w:space="0" w:color="auto"/>
        <w:bottom w:val="none" w:sz="0" w:space="0" w:color="auto"/>
        <w:right w:val="none" w:sz="0" w:space="0" w:color="auto"/>
      </w:divBdr>
    </w:div>
    <w:div w:id="19164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5NUHHDQN7SK2-1476151046-510281</_dlc_DocId>
    <_dlc_DocIdUrl xmlns="f166a696-7b5b-4ccd-9f0c-ffde0cceec81">
      <Url>https://ericsson.sharepoint.com/sites/star/_layouts/15/DocIdRedir.aspx?ID=5NUHHDQN7SK2-1476151046-510281</Url>
      <Description>5NUHHDQN7SK2-1476151046-510281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3.xml><?xml version="1.0" encoding="utf-8"?>
<ds:datastoreItem xmlns:ds="http://schemas.openxmlformats.org/officeDocument/2006/customXml" ds:itemID="{AFD3527F-078C-46FF-917C-D402B9DBDD85}">
  <ds:schemaRefs>
    <ds:schemaRef ds:uri="d8762117-8292-4133-b1c7-eab5c6487cfd"/>
    <ds:schemaRef ds:uri="http://schemas.microsoft.com/sharepoint/v4"/>
    <ds:schemaRef ds:uri="http://purl.org/dc/elements/1.1/"/>
    <ds:schemaRef ds:uri="http://schemas.microsoft.com/office/2006/metadata/properties"/>
    <ds:schemaRef ds:uri="http://schemas.microsoft.com/office/infopath/2007/PartnerControls"/>
    <ds:schemaRef ds:uri="611109f9-ed58-4498-a270-1fb2086a5321"/>
    <ds:schemaRef ds:uri="http://schemas.microsoft.com/office/2006/documentManagement/types"/>
    <ds:schemaRef ds:uri="http://purl.org/dc/terms/"/>
    <ds:schemaRef ds:uri="http://schemas.openxmlformats.org/package/2006/metadata/core-properties"/>
    <ds:schemaRef ds:uri="http://purl.org/dc/dcmitype/"/>
    <ds:schemaRef ds:uri="f166a696-7b5b-4ccd-9f0c-ffde0cceec81"/>
    <ds:schemaRef ds:uri="http://www.w3.org/XML/1998/namespace"/>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6.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13558</TotalTime>
  <Pages>3</Pages>
  <Words>1060</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2802</cp:revision>
  <dcterms:created xsi:type="dcterms:W3CDTF">2020-10-24T12:51:00Z</dcterms:created>
  <dcterms:modified xsi:type="dcterms:W3CDTF">2022-01-03T23:42:00Z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7d1efcef-d3a1-4234-8aff-b07f24d4863c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